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3BE" w:rsidRDefault="00BB23BE" w:rsidP="00BB23BE">
      <w:pPr>
        <w:spacing w:line="480" w:lineRule="exact"/>
        <w:ind w:right="700"/>
        <w:contextualSpacing/>
        <w:textAlignment w:val="center"/>
        <w:rPr>
          <w:rFonts w:ascii="Times New Roman" w:eastAsia="方正小标宋简体" w:hAnsi="Times New Roman"/>
          <w:szCs w:val="32"/>
        </w:rPr>
      </w:pPr>
    </w:p>
    <w:p w:rsidR="00BB23BE" w:rsidRDefault="00BB23BE" w:rsidP="00BB23BE">
      <w:pPr>
        <w:spacing w:line="820" w:lineRule="exact"/>
        <w:ind w:firstLineChars="100" w:firstLine="1200"/>
        <w:rPr>
          <w:rFonts w:ascii="Times New Roman" w:eastAsia="宋体" w:hAnsi="Times New Roman"/>
          <w:bCs/>
          <w:spacing w:val="100"/>
          <w:sz w:val="100"/>
        </w:rPr>
      </w:pPr>
    </w:p>
    <w:p w:rsidR="00BB23BE" w:rsidRDefault="00BB23BE" w:rsidP="00BB23BE">
      <w:pPr>
        <w:spacing w:line="820" w:lineRule="exact"/>
        <w:ind w:firstLineChars="100" w:firstLine="1200"/>
        <w:rPr>
          <w:rFonts w:ascii="Times New Roman" w:eastAsia="宋体" w:hAnsi="Times New Roman"/>
          <w:bCs/>
          <w:spacing w:val="100"/>
          <w:sz w:val="100"/>
        </w:rPr>
      </w:pPr>
    </w:p>
    <w:p w:rsidR="00BB23BE" w:rsidRDefault="00BB23BE" w:rsidP="00BB23BE">
      <w:pPr>
        <w:spacing w:line="1200" w:lineRule="exact"/>
        <w:ind w:firstLineChars="100" w:firstLine="1200"/>
        <w:rPr>
          <w:rFonts w:ascii="Times New Roman" w:eastAsia="宋体" w:hAnsi="Times New Roman"/>
          <w:bCs/>
          <w:spacing w:val="100"/>
          <w:sz w:val="100"/>
        </w:rPr>
      </w:pPr>
      <w:r>
        <w:rPr>
          <w:rFonts w:ascii="Times New Roman" w:eastAsia="宋体" w:hAnsi="Times New Roman" w:hint="eastAsia"/>
          <w:bCs/>
          <w:spacing w:val="100"/>
          <w:sz w:val="100"/>
        </w:rPr>
        <w:t>临床药学信息</w:t>
      </w:r>
    </w:p>
    <w:p w:rsidR="00BB23BE" w:rsidRDefault="00BB23BE" w:rsidP="00BB23BE">
      <w:pPr>
        <w:spacing w:line="1200" w:lineRule="exact"/>
        <w:jc w:val="center"/>
        <w:rPr>
          <w:rFonts w:ascii="Times New Roman" w:eastAsia="华文新魏" w:hAnsi="Times New Roman"/>
          <w:bCs/>
          <w:spacing w:val="100"/>
          <w:sz w:val="100"/>
        </w:rPr>
      </w:pPr>
      <w:r>
        <w:rPr>
          <w:rFonts w:ascii="Times New Roman" w:hAnsi="Times New Roman"/>
          <w:sz w:val="38"/>
        </w:rPr>
        <w:t>CLINICAL  PHARMACY  INFORMATION</w:t>
      </w:r>
    </w:p>
    <w:p w:rsidR="00BB23BE" w:rsidRDefault="00BB23BE" w:rsidP="00BB23BE">
      <w:pPr>
        <w:tabs>
          <w:tab w:val="left" w:pos="4875"/>
        </w:tabs>
        <w:spacing w:line="360" w:lineRule="exact"/>
        <w:jc w:val="center"/>
        <w:rPr>
          <w:rFonts w:ascii="Times New Roman" w:hAnsi="Times New Roman"/>
        </w:rPr>
      </w:pPr>
    </w:p>
    <w:p w:rsidR="00BB23BE" w:rsidRDefault="00BB23BE" w:rsidP="00BB23BE">
      <w:pPr>
        <w:tabs>
          <w:tab w:val="left" w:pos="4875"/>
        </w:tabs>
        <w:jc w:val="center"/>
        <w:rPr>
          <w:rFonts w:ascii="Times New Roman" w:eastAsia="宋体" w:hAnsi="Times New Roman"/>
          <w:spacing w:val="-8"/>
          <w:szCs w:val="32"/>
        </w:rPr>
      </w:pPr>
      <w:r>
        <w:rPr>
          <w:rFonts w:ascii="Times New Roman" w:eastAsia="宋体" w:hAnsi="Times New Roman" w:hint="eastAsia"/>
          <w:spacing w:val="-8"/>
          <w:szCs w:val="32"/>
        </w:rPr>
        <w:t xml:space="preserve">  </w:t>
      </w:r>
      <w:r>
        <w:rPr>
          <w:rFonts w:ascii="Times New Roman" w:eastAsia="宋体" w:hAnsi="Times New Roman" w:hint="eastAsia"/>
          <w:spacing w:val="-8"/>
          <w:szCs w:val="32"/>
        </w:rPr>
        <w:t>主办：临床药学室</w:t>
      </w:r>
    </w:p>
    <w:p w:rsidR="00BB23BE" w:rsidRDefault="00BB23BE" w:rsidP="00BB23BE">
      <w:pPr>
        <w:tabs>
          <w:tab w:val="left" w:pos="4875"/>
        </w:tabs>
        <w:spacing w:line="360" w:lineRule="exact"/>
        <w:jc w:val="center"/>
        <w:rPr>
          <w:rFonts w:ascii="Times New Roman" w:eastAsia="黑体" w:hAnsi="Times New Roman"/>
          <w:sz w:val="26"/>
          <w:szCs w:val="26"/>
        </w:rPr>
      </w:pPr>
    </w:p>
    <w:p w:rsidR="00BB23BE" w:rsidRDefault="00BB23BE" w:rsidP="00BB23BE">
      <w:pPr>
        <w:tabs>
          <w:tab w:val="left" w:pos="4875"/>
        </w:tabs>
        <w:jc w:val="center"/>
        <w:rPr>
          <w:rFonts w:ascii="Times New Roman" w:eastAsia="宋体" w:hAnsi="Times New Roman"/>
          <w:sz w:val="28"/>
          <w:szCs w:val="28"/>
        </w:rPr>
      </w:pPr>
      <w:r>
        <w:rPr>
          <w:rFonts w:ascii="Times New Roman" w:eastAsia="宋体" w:hAnsi="Times New Roman" w:hint="eastAsia"/>
          <w:sz w:val="28"/>
          <w:szCs w:val="28"/>
        </w:rPr>
        <w:t>总第</w:t>
      </w:r>
      <w:r>
        <w:rPr>
          <w:rFonts w:ascii="Times New Roman" w:eastAsia="宋体" w:hAnsi="Times New Roman" w:hint="eastAsia"/>
          <w:sz w:val="28"/>
          <w:szCs w:val="28"/>
        </w:rPr>
        <w:t>13</w:t>
      </w:r>
      <w:r w:rsidR="00E508E4">
        <w:rPr>
          <w:rFonts w:ascii="Times New Roman" w:eastAsia="宋体" w:hAnsi="Times New Roman" w:hint="eastAsia"/>
          <w:sz w:val="28"/>
          <w:szCs w:val="28"/>
        </w:rPr>
        <w:t>0</w:t>
      </w:r>
      <w:r>
        <w:rPr>
          <w:rFonts w:ascii="Times New Roman" w:eastAsia="宋体" w:hAnsi="Times New Roman" w:hint="eastAsia"/>
          <w:sz w:val="28"/>
          <w:szCs w:val="28"/>
        </w:rPr>
        <w:t>期</w:t>
      </w:r>
      <w:r>
        <w:rPr>
          <w:rFonts w:ascii="Times New Roman" w:eastAsia="宋体" w:hAnsi="Times New Roman" w:hint="eastAsia"/>
          <w:sz w:val="28"/>
          <w:szCs w:val="28"/>
        </w:rPr>
        <w:t xml:space="preserve"> </w:t>
      </w:r>
      <w:r>
        <w:rPr>
          <w:rFonts w:ascii="Times New Roman" w:eastAsia="宋体" w:hAnsi="Times New Roman"/>
          <w:sz w:val="28"/>
          <w:szCs w:val="28"/>
        </w:rPr>
        <w:t>201</w:t>
      </w:r>
      <w:r w:rsidR="003571E7">
        <w:rPr>
          <w:rFonts w:ascii="Times New Roman" w:eastAsia="宋体" w:hAnsi="Times New Roman" w:hint="eastAsia"/>
          <w:sz w:val="28"/>
          <w:szCs w:val="28"/>
        </w:rPr>
        <w:t>8</w:t>
      </w:r>
      <w:r>
        <w:rPr>
          <w:rFonts w:ascii="Times New Roman" w:eastAsia="宋体" w:hAnsi="Times New Roman" w:hint="eastAsia"/>
          <w:sz w:val="28"/>
          <w:szCs w:val="28"/>
        </w:rPr>
        <w:t>年第</w:t>
      </w:r>
      <w:r>
        <w:rPr>
          <w:rFonts w:ascii="Times New Roman" w:eastAsia="宋体" w:hAnsi="Times New Roman" w:hint="eastAsia"/>
          <w:sz w:val="28"/>
          <w:szCs w:val="28"/>
        </w:rPr>
        <w:t>4</w:t>
      </w:r>
      <w:r>
        <w:rPr>
          <w:rFonts w:ascii="Times New Roman" w:eastAsia="宋体" w:hAnsi="Times New Roman" w:hint="eastAsia"/>
          <w:sz w:val="28"/>
          <w:szCs w:val="28"/>
        </w:rPr>
        <w:t>期</w:t>
      </w:r>
    </w:p>
    <w:p w:rsidR="00BB23BE" w:rsidRDefault="00BB23BE" w:rsidP="00BB23BE">
      <w:pPr>
        <w:tabs>
          <w:tab w:val="left" w:pos="4875"/>
        </w:tabs>
        <w:jc w:val="center"/>
        <w:rPr>
          <w:rFonts w:ascii="Times New Roman" w:eastAsia="黑体" w:hAnsi="Times New Roman"/>
          <w:sz w:val="34"/>
        </w:rPr>
      </w:pPr>
    </w:p>
    <w:p w:rsidR="00BB23BE" w:rsidRDefault="00BB23BE" w:rsidP="00BB23BE">
      <w:pPr>
        <w:tabs>
          <w:tab w:val="left" w:pos="4875"/>
        </w:tabs>
        <w:jc w:val="center"/>
        <w:rPr>
          <w:rFonts w:ascii="Times New Roman" w:eastAsia="黑体" w:hAnsi="Times New Roman"/>
          <w:sz w:val="34"/>
        </w:rPr>
      </w:pPr>
    </w:p>
    <w:p w:rsidR="00BB23BE" w:rsidRDefault="00BB23BE" w:rsidP="00BB23BE">
      <w:pPr>
        <w:tabs>
          <w:tab w:val="left" w:pos="4875"/>
        </w:tabs>
        <w:jc w:val="center"/>
        <w:rPr>
          <w:rFonts w:ascii="Times New Roman" w:eastAsia="黑体" w:hAnsi="Times New Roman"/>
          <w:sz w:val="34"/>
        </w:rPr>
      </w:pPr>
    </w:p>
    <w:p w:rsidR="00BB23BE" w:rsidRDefault="00BB23BE" w:rsidP="00BB23BE">
      <w:pPr>
        <w:tabs>
          <w:tab w:val="left" w:pos="4875"/>
        </w:tabs>
        <w:jc w:val="center"/>
        <w:rPr>
          <w:rFonts w:ascii="Times New Roman" w:eastAsia="黑体" w:hAnsi="Times New Roman"/>
          <w:sz w:val="34"/>
        </w:rPr>
      </w:pPr>
    </w:p>
    <w:p w:rsidR="00BB23BE" w:rsidRDefault="00BB23BE" w:rsidP="00BB23BE">
      <w:pPr>
        <w:tabs>
          <w:tab w:val="left" w:pos="4875"/>
        </w:tabs>
        <w:jc w:val="center"/>
        <w:rPr>
          <w:rFonts w:ascii="Times New Roman" w:eastAsia="黑体" w:hAnsi="Times New Roman"/>
          <w:sz w:val="34"/>
        </w:rPr>
      </w:pPr>
    </w:p>
    <w:p w:rsidR="00BB23BE" w:rsidRDefault="00BB23BE" w:rsidP="00BB23BE">
      <w:pPr>
        <w:tabs>
          <w:tab w:val="left" w:pos="4875"/>
        </w:tabs>
        <w:jc w:val="center"/>
        <w:rPr>
          <w:rFonts w:ascii="Times New Roman" w:eastAsia="黑体" w:hAnsi="Times New Roman"/>
          <w:sz w:val="34"/>
        </w:rPr>
      </w:pPr>
    </w:p>
    <w:p w:rsidR="00BB23BE" w:rsidRDefault="00BB23BE" w:rsidP="00BB23BE">
      <w:pPr>
        <w:tabs>
          <w:tab w:val="left" w:pos="4875"/>
        </w:tabs>
        <w:jc w:val="center"/>
        <w:rPr>
          <w:rFonts w:ascii="Times New Roman" w:eastAsia="黑体" w:hAnsi="Times New Roman"/>
          <w:sz w:val="34"/>
        </w:rPr>
      </w:pPr>
    </w:p>
    <w:p w:rsidR="00BB23BE" w:rsidRPr="004F2DC6" w:rsidRDefault="00BB23BE" w:rsidP="00BB23BE">
      <w:pPr>
        <w:tabs>
          <w:tab w:val="left" w:pos="4875"/>
        </w:tabs>
        <w:jc w:val="center"/>
        <w:rPr>
          <w:rFonts w:ascii="Times New Roman" w:eastAsia="黑体" w:hAnsi="Times New Roman"/>
          <w:sz w:val="34"/>
        </w:rPr>
      </w:pPr>
      <w:r>
        <w:rPr>
          <w:rFonts w:ascii="Times New Roman" w:eastAsia="黑体" w:hAnsi="Times New Roman" w:hint="eastAsia"/>
          <w:sz w:val="34"/>
        </w:rPr>
        <w:t>宜</w:t>
      </w:r>
      <w:r>
        <w:rPr>
          <w:rFonts w:ascii="Times New Roman" w:eastAsia="黑体" w:hAnsi="Times New Roman" w:hint="eastAsia"/>
          <w:sz w:val="34"/>
        </w:rPr>
        <w:t xml:space="preserve"> </w:t>
      </w:r>
      <w:r>
        <w:rPr>
          <w:rFonts w:ascii="Times New Roman" w:eastAsia="黑体" w:hAnsi="Times New Roman" w:hint="eastAsia"/>
          <w:sz w:val="34"/>
        </w:rPr>
        <w:t>兴</w:t>
      </w:r>
      <w:r>
        <w:rPr>
          <w:rFonts w:ascii="Times New Roman" w:eastAsia="黑体" w:hAnsi="Times New Roman" w:hint="eastAsia"/>
          <w:sz w:val="34"/>
        </w:rPr>
        <w:t xml:space="preserve"> </w:t>
      </w:r>
      <w:r>
        <w:rPr>
          <w:rFonts w:ascii="Times New Roman" w:eastAsia="黑体" w:hAnsi="Times New Roman" w:hint="eastAsia"/>
          <w:sz w:val="34"/>
        </w:rPr>
        <w:t>市</w:t>
      </w:r>
      <w:r>
        <w:rPr>
          <w:rFonts w:ascii="Times New Roman" w:eastAsia="黑体" w:hAnsi="Times New Roman" w:hint="eastAsia"/>
          <w:sz w:val="34"/>
        </w:rPr>
        <w:t xml:space="preserve"> </w:t>
      </w:r>
      <w:r>
        <w:rPr>
          <w:rFonts w:ascii="Times New Roman" w:eastAsia="黑体" w:hAnsi="Times New Roman" w:hint="eastAsia"/>
          <w:sz w:val="34"/>
        </w:rPr>
        <w:t>第</w:t>
      </w:r>
      <w:r>
        <w:rPr>
          <w:rFonts w:ascii="Times New Roman" w:eastAsia="黑体" w:hAnsi="Times New Roman" w:hint="eastAsia"/>
          <w:sz w:val="34"/>
        </w:rPr>
        <w:t xml:space="preserve"> </w:t>
      </w:r>
      <w:r>
        <w:rPr>
          <w:rFonts w:ascii="Times New Roman" w:eastAsia="黑体" w:hAnsi="Times New Roman" w:hint="eastAsia"/>
          <w:sz w:val="34"/>
        </w:rPr>
        <w:t>四</w:t>
      </w:r>
      <w:r>
        <w:rPr>
          <w:rFonts w:ascii="Times New Roman" w:eastAsia="黑体" w:hAnsi="Times New Roman" w:hint="eastAsia"/>
          <w:sz w:val="34"/>
        </w:rPr>
        <w:t xml:space="preserve"> </w:t>
      </w:r>
      <w:r>
        <w:rPr>
          <w:rFonts w:ascii="Times New Roman" w:eastAsia="黑体" w:hAnsi="Times New Roman" w:hint="eastAsia"/>
          <w:sz w:val="34"/>
        </w:rPr>
        <w:t>人</w:t>
      </w:r>
      <w:r>
        <w:rPr>
          <w:rFonts w:ascii="Times New Roman" w:eastAsia="黑体" w:hAnsi="Times New Roman" w:hint="eastAsia"/>
          <w:sz w:val="34"/>
        </w:rPr>
        <w:t xml:space="preserve"> </w:t>
      </w:r>
      <w:r>
        <w:rPr>
          <w:rFonts w:ascii="Times New Roman" w:eastAsia="黑体" w:hAnsi="Times New Roman" w:hint="eastAsia"/>
          <w:sz w:val="34"/>
        </w:rPr>
        <w:t>民</w:t>
      </w:r>
      <w:r>
        <w:rPr>
          <w:rFonts w:ascii="Times New Roman" w:eastAsia="黑体" w:hAnsi="Times New Roman" w:hint="eastAsia"/>
          <w:sz w:val="34"/>
        </w:rPr>
        <w:t xml:space="preserve"> </w:t>
      </w:r>
      <w:r>
        <w:rPr>
          <w:rFonts w:ascii="Times New Roman" w:eastAsia="黑体" w:hAnsi="Times New Roman" w:hint="eastAsia"/>
          <w:sz w:val="34"/>
        </w:rPr>
        <w:t>医</w:t>
      </w:r>
      <w:r>
        <w:rPr>
          <w:rFonts w:ascii="Times New Roman" w:eastAsia="黑体" w:hAnsi="Times New Roman" w:hint="eastAsia"/>
          <w:sz w:val="34"/>
        </w:rPr>
        <w:t xml:space="preserve"> </w:t>
      </w:r>
      <w:r>
        <w:rPr>
          <w:rFonts w:ascii="Times New Roman" w:eastAsia="黑体" w:hAnsi="Times New Roman" w:hint="eastAsia"/>
          <w:sz w:val="34"/>
        </w:rPr>
        <w:t>院</w:t>
      </w:r>
    </w:p>
    <w:p w:rsidR="00BB23BE" w:rsidRDefault="00BB23BE" w:rsidP="00BB23BE">
      <w:pPr>
        <w:tabs>
          <w:tab w:val="left" w:pos="4875"/>
        </w:tabs>
        <w:jc w:val="center"/>
        <w:rPr>
          <w:rFonts w:ascii="Times New Roman" w:eastAsia="宋体" w:hAnsi="Times New Roman"/>
          <w:b/>
          <w:spacing w:val="60"/>
          <w:sz w:val="36"/>
          <w:szCs w:val="36"/>
        </w:rPr>
      </w:pPr>
      <w:r>
        <w:rPr>
          <w:rFonts w:ascii="Times New Roman" w:eastAsia="宋体" w:hAnsi="Times New Roman" w:hint="eastAsia"/>
          <w:b/>
          <w:spacing w:val="60"/>
          <w:sz w:val="36"/>
          <w:szCs w:val="36"/>
        </w:rPr>
        <w:t>二</w:t>
      </w:r>
      <w:r>
        <w:rPr>
          <w:rFonts w:ascii="宋体" w:eastAsia="宋体" w:hAnsi="宋体" w:hint="eastAsia"/>
          <w:b/>
          <w:spacing w:val="60"/>
          <w:sz w:val="36"/>
          <w:szCs w:val="36"/>
        </w:rPr>
        <w:t>○</w:t>
      </w:r>
      <w:r>
        <w:rPr>
          <w:rFonts w:ascii="Times New Roman" w:eastAsia="宋体" w:hAnsi="Times New Roman" w:hint="eastAsia"/>
          <w:b/>
          <w:spacing w:val="60"/>
          <w:sz w:val="36"/>
          <w:szCs w:val="36"/>
        </w:rPr>
        <w:t>一八年十二月</w:t>
      </w:r>
    </w:p>
    <w:p w:rsidR="00BB23BE" w:rsidRDefault="00BB23BE" w:rsidP="00BB23BE">
      <w:pPr>
        <w:tabs>
          <w:tab w:val="left" w:pos="4875"/>
        </w:tabs>
        <w:jc w:val="center"/>
        <w:rPr>
          <w:rFonts w:ascii="Times New Roman" w:hAnsi="Times New Roman"/>
          <w:sz w:val="24"/>
        </w:rPr>
      </w:pPr>
    </w:p>
    <w:p w:rsidR="00BB23BE" w:rsidRDefault="00BB23BE" w:rsidP="00BB23BE">
      <w:pPr>
        <w:tabs>
          <w:tab w:val="left" w:pos="4875"/>
        </w:tabs>
        <w:jc w:val="center"/>
        <w:rPr>
          <w:rFonts w:ascii="Times New Roman" w:eastAsia="黑体" w:hAnsi="Times New Roman"/>
          <w:sz w:val="34"/>
        </w:rPr>
      </w:pPr>
    </w:p>
    <w:p w:rsidR="00BB23BE" w:rsidRDefault="00BB23BE" w:rsidP="00BB23BE">
      <w:pPr>
        <w:tabs>
          <w:tab w:val="left" w:pos="8960"/>
          <w:tab w:val="left" w:pos="9280"/>
        </w:tabs>
        <w:spacing w:line="460" w:lineRule="exact"/>
        <w:rPr>
          <w:rFonts w:ascii="Times New Roman" w:eastAsia="Times New Roman" w:hAnsi="Times New Roman"/>
          <w:sz w:val="40"/>
          <w:szCs w:val="44"/>
        </w:rPr>
        <w:sectPr w:rsidR="00BB23BE">
          <w:headerReference w:type="default" r:id="rId7"/>
          <w:pgSz w:w="11906" w:h="16838"/>
          <w:pgMar w:top="1985" w:right="1191" w:bottom="1134" w:left="1644" w:header="851" w:footer="1151" w:gutter="0"/>
          <w:pgNumType w:start="1"/>
          <w:cols w:space="720"/>
          <w:docGrid w:type="linesAndChars" w:linePitch="623"/>
        </w:sectPr>
      </w:pPr>
    </w:p>
    <w:p w:rsidR="00BB23BE" w:rsidRDefault="00BB23BE" w:rsidP="00BB23BE">
      <w:pPr>
        <w:tabs>
          <w:tab w:val="left" w:pos="8960"/>
          <w:tab w:val="left" w:pos="9280"/>
        </w:tabs>
        <w:spacing w:line="460" w:lineRule="exact"/>
        <w:rPr>
          <w:rFonts w:ascii="Times New Roman" w:eastAsia="Times New Roman" w:hAnsi="Times New Roman"/>
          <w:sz w:val="40"/>
          <w:szCs w:val="44"/>
        </w:rPr>
      </w:pPr>
    </w:p>
    <w:p w:rsidR="00BB23BE" w:rsidRDefault="00BB23BE" w:rsidP="00BB23BE">
      <w:pPr>
        <w:tabs>
          <w:tab w:val="left" w:pos="8960"/>
          <w:tab w:val="left" w:pos="9280"/>
        </w:tabs>
        <w:spacing w:line="460" w:lineRule="exact"/>
        <w:jc w:val="center"/>
        <w:rPr>
          <w:rFonts w:ascii="Times New Roman" w:eastAsia="Times New Roman" w:hAnsi="Times New Roman"/>
          <w:sz w:val="40"/>
          <w:szCs w:val="44"/>
        </w:rPr>
      </w:pPr>
      <w:r>
        <w:rPr>
          <w:rFonts w:ascii="宋体" w:eastAsia="宋体" w:hAnsi="宋体" w:cs="宋体" w:hint="eastAsia"/>
          <w:sz w:val="40"/>
          <w:szCs w:val="44"/>
        </w:rPr>
        <w:t>目录</w:t>
      </w:r>
    </w:p>
    <w:p w:rsidR="00BB23BE" w:rsidRDefault="00BB23BE" w:rsidP="00BB23BE">
      <w:pPr>
        <w:tabs>
          <w:tab w:val="left" w:pos="8960"/>
        </w:tabs>
        <w:spacing w:line="620" w:lineRule="exact"/>
        <w:rPr>
          <w:rFonts w:ascii="Times New Roman" w:hAnsi="Times New Roman"/>
          <w:sz w:val="28"/>
          <w:szCs w:val="28"/>
        </w:rPr>
      </w:pPr>
    </w:p>
    <w:p w:rsidR="00BB23BE" w:rsidRDefault="00BB23BE" w:rsidP="00BB23BE">
      <w:pPr>
        <w:tabs>
          <w:tab w:val="left" w:pos="8960"/>
        </w:tabs>
        <w:spacing w:line="620" w:lineRule="exact"/>
        <w:rPr>
          <w:rFonts w:ascii="Times New Roman" w:hAnsi="Times New Roman"/>
          <w:sz w:val="28"/>
          <w:szCs w:val="28"/>
        </w:rPr>
      </w:pPr>
      <w:r>
        <w:rPr>
          <w:rFonts w:ascii="Times New Roman" w:hAnsi="Times New Roman" w:hint="eastAsia"/>
          <w:sz w:val="28"/>
          <w:szCs w:val="28"/>
        </w:rPr>
        <w:t>【</w:t>
      </w:r>
      <w:r>
        <w:rPr>
          <w:rFonts w:ascii="宋体" w:eastAsia="宋体" w:hAnsi="宋体" w:cs="宋体" w:hint="eastAsia"/>
          <w:sz w:val="28"/>
          <w:szCs w:val="28"/>
        </w:rPr>
        <w:t>药物警戒</w:t>
      </w:r>
      <w:r>
        <w:rPr>
          <w:rFonts w:ascii="Times New Roman" w:hAnsi="Times New Roman" w:hint="eastAsia"/>
          <w:sz w:val="28"/>
          <w:szCs w:val="28"/>
        </w:rPr>
        <w:t>】</w:t>
      </w:r>
    </w:p>
    <w:p w:rsidR="00596C91" w:rsidRPr="00596C91" w:rsidRDefault="00596C91" w:rsidP="00596C91">
      <w:pPr>
        <w:rPr>
          <w:rFonts w:ascii="宋体" w:eastAsia="宋体" w:hAnsi="宋体" w:cs="宋体"/>
          <w:sz w:val="28"/>
          <w:szCs w:val="28"/>
        </w:rPr>
      </w:pPr>
      <w:r w:rsidRPr="00596C91">
        <w:rPr>
          <w:rFonts w:ascii="宋体" w:eastAsia="宋体" w:hAnsi="宋体" w:cs="宋体" w:hint="eastAsia"/>
          <w:sz w:val="28"/>
          <w:szCs w:val="28"/>
        </w:rPr>
        <w:t>英国警告芬太尼透皮贴剂意外暴露带来的严重风险</w:t>
      </w:r>
    </w:p>
    <w:p w:rsidR="00596C91" w:rsidRPr="00596C91" w:rsidRDefault="00596C91" w:rsidP="00596C91">
      <w:pPr>
        <w:rPr>
          <w:rFonts w:ascii="宋体" w:eastAsia="宋体" w:hAnsi="宋体" w:cs="宋体"/>
          <w:sz w:val="28"/>
          <w:szCs w:val="28"/>
        </w:rPr>
      </w:pPr>
      <w:r w:rsidRPr="00596C91">
        <w:rPr>
          <w:rFonts w:ascii="宋体" w:eastAsia="宋体" w:hAnsi="宋体" w:cs="宋体" w:hint="eastAsia"/>
          <w:sz w:val="28"/>
          <w:szCs w:val="28"/>
        </w:rPr>
        <w:t>欧盟采取措施控制氟喹诺酮和喹诺酮类药品的严重风险</w:t>
      </w:r>
    </w:p>
    <w:p w:rsidR="00BB23BE" w:rsidRDefault="00BB23BE" w:rsidP="00BB23BE">
      <w:pPr>
        <w:widowControl/>
        <w:spacing w:line="620" w:lineRule="exact"/>
        <w:rPr>
          <w:rFonts w:ascii="宋体" w:eastAsia="宋体" w:hAnsi="宋体" w:cs="宋体"/>
          <w:sz w:val="28"/>
          <w:szCs w:val="28"/>
        </w:rPr>
      </w:pPr>
      <w:r>
        <w:rPr>
          <w:rFonts w:ascii="Times New Roman" w:hAnsi="Times New Roman" w:hint="eastAsia"/>
          <w:sz w:val="28"/>
          <w:szCs w:val="28"/>
        </w:rPr>
        <w:t>【</w:t>
      </w:r>
      <w:r>
        <w:rPr>
          <w:rFonts w:ascii="宋体" w:eastAsia="宋体" w:hAnsi="宋体" w:cs="宋体" w:hint="eastAsia"/>
          <w:sz w:val="28"/>
          <w:szCs w:val="28"/>
        </w:rPr>
        <w:t>药物不良反应】</w:t>
      </w:r>
    </w:p>
    <w:p w:rsidR="005D10BC" w:rsidRDefault="005D10BC" w:rsidP="00BB23BE">
      <w:pPr>
        <w:widowControl/>
        <w:spacing w:line="620" w:lineRule="exact"/>
        <w:rPr>
          <w:rFonts w:ascii="宋体" w:eastAsia="宋体" w:hAnsi="宋体" w:cs="宋体"/>
          <w:sz w:val="28"/>
          <w:szCs w:val="28"/>
        </w:rPr>
      </w:pPr>
      <w:r w:rsidRPr="005D10BC">
        <w:rPr>
          <w:rFonts w:ascii="宋体" w:eastAsia="宋体" w:hAnsi="宋体" w:cs="宋体" w:hint="eastAsia"/>
          <w:sz w:val="28"/>
          <w:szCs w:val="28"/>
        </w:rPr>
        <w:t>警惕甲氧氯普胺引起的锥体外系反应</w:t>
      </w:r>
    </w:p>
    <w:p w:rsidR="00BB23BE" w:rsidRDefault="00BB23BE" w:rsidP="00BB23BE">
      <w:pPr>
        <w:spacing w:line="620" w:lineRule="exact"/>
        <w:rPr>
          <w:rFonts w:ascii="宋体" w:eastAsia="宋体" w:hAnsi="宋体" w:cs="宋体"/>
          <w:sz w:val="28"/>
          <w:szCs w:val="28"/>
        </w:rPr>
      </w:pPr>
      <w:r w:rsidRPr="005D10BC">
        <w:rPr>
          <w:rFonts w:ascii="宋体" w:eastAsia="宋体" w:hAnsi="宋体" w:cs="宋体" w:hint="eastAsia"/>
          <w:sz w:val="28"/>
          <w:szCs w:val="28"/>
        </w:rPr>
        <w:t>【</w:t>
      </w:r>
      <w:r>
        <w:rPr>
          <w:rFonts w:ascii="宋体" w:eastAsia="宋体" w:hAnsi="宋体" w:cs="宋体" w:hint="eastAsia"/>
          <w:sz w:val="28"/>
          <w:szCs w:val="28"/>
        </w:rPr>
        <w:t>新药信息】</w:t>
      </w:r>
    </w:p>
    <w:p w:rsidR="00BB23BE" w:rsidRDefault="00596C91" w:rsidP="00BB23BE">
      <w:pPr>
        <w:tabs>
          <w:tab w:val="left" w:pos="8960"/>
        </w:tabs>
        <w:spacing w:line="620" w:lineRule="exact"/>
        <w:rPr>
          <w:rFonts w:ascii="宋体" w:eastAsia="宋体" w:hAnsi="宋体" w:cs="宋体"/>
          <w:sz w:val="28"/>
          <w:szCs w:val="28"/>
        </w:rPr>
      </w:pPr>
      <w:r>
        <w:rPr>
          <w:rFonts w:ascii="宋体" w:eastAsia="宋体" w:hAnsi="宋体" w:cs="宋体" w:hint="eastAsia"/>
          <w:sz w:val="28"/>
          <w:szCs w:val="28"/>
        </w:rPr>
        <w:t>磷酸西格列汀片（捷诺维）</w:t>
      </w:r>
    </w:p>
    <w:p w:rsidR="00596C91" w:rsidRDefault="00596C91" w:rsidP="00BB23BE">
      <w:pPr>
        <w:tabs>
          <w:tab w:val="left" w:pos="8960"/>
        </w:tabs>
        <w:spacing w:line="620" w:lineRule="exact"/>
        <w:rPr>
          <w:rFonts w:ascii="宋体" w:eastAsia="宋体" w:hAnsi="宋体" w:cs="宋体"/>
          <w:sz w:val="28"/>
          <w:szCs w:val="28"/>
        </w:rPr>
        <w:sectPr w:rsidR="00596C91" w:rsidSect="00800C91">
          <w:pgSz w:w="11906" w:h="16838"/>
          <w:pgMar w:top="1440" w:right="1800" w:bottom="1440" w:left="1800" w:header="851" w:footer="992" w:gutter="0"/>
          <w:cols w:space="425"/>
          <w:docGrid w:type="lines" w:linePitch="312"/>
        </w:sectPr>
      </w:pPr>
    </w:p>
    <w:p w:rsidR="00596C91" w:rsidRPr="00596C91" w:rsidRDefault="00596C91" w:rsidP="00596C91">
      <w:pPr>
        <w:tabs>
          <w:tab w:val="left" w:pos="8960"/>
        </w:tabs>
        <w:spacing w:line="620" w:lineRule="exact"/>
        <w:rPr>
          <w:rFonts w:ascii="Times New Roman" w:hAnsi="Times New Roman"/>
          <w:sz w:val="28"/>
          <w:szCs w:val="28"/>
        </w:rPr>
      </w:pPr>
      <w:r>
        <w:rPr>
          <w:rFonts w:ascii="Times New Roman" w:hAnsi="Times New Roman" w:hint="eastAsia"/>
          <w:sz w:val="28"/>
          <w:szCs w:val="28"/>
        </w:rPr>
        <w:lastRenderedPageBreak/>
        <w:t>【</w:t>
      </w:r>
      <w:r>
        <w:rPr>
          <w:rFonts w:ascii="宋体" w:eastAsia="宋体" w:hAnsi="宋体" w:cs="宋体" w:hint="eastAsia"/>
          <w:sz w:val="28"/>
          <w:szCs w:val="28"/>
        </w:rPr>
        <w:t>药物警戒</w:t>
      </w:r>
      <w:r>
        <w:rPr>
          <w:rFonts w:ascii="Times New Roman" w:hAnsi="Times New Roman" w:hint="eastAsia"/>
          <w:sz w:val="28"/>
          <w:szCs w:val="28"/>
        </w:rPr>
        <w:t>】</w:t>
      </w:r>
    </w:p>
    <w:p w:rsidR="00596C91" w:rsidRPr="00596C91" w:rsidRDefault="00596C91" w:rsidP="00596C91">
      <w:pPr>
        <w:jc w:val="center"/>
        <w:rPr>
          <w:rFonts w:ascii="黑体" w:eastAsia="黑体" w:hAnsi="黑体"/>
          <w:b/>
          <w:szCs w:val="32"/>
        </w:rPr>
      </w:pPr>
      <w:r w:rsidRPr="00596C91">
        <w:rPr>
          <w:rFonts w:ascii="黑体" w:eastAsia="黑体" w:hAnsi="黑体" w:hint="eastAsia"/>
          <w:b/>
          <w:szCs w:val="32"/>
        </w:rPr>
        <w:t>英国警告芬太尼透皮贴剂意外暴露带来的严重风险</w:t>
      </w:r>
    </w:p>
    <w:p w:rsidR="00596C91" w:rsidRPr="00596C91" w:rsidRDefault="00596C91" w:rsidP="00C54BC8">
      <w:pPr>
        <w:ind w:firstLineChars="200" w:firstLine="480"/>
        <w:rPr>
          <w:sz w:val="24"/>
        </w:rPr>
      </w:pPr>
      <w:r w:rsidRPr="00596C91">
        <w:rPr>
          <w:rFonts w:hint="eastAsia"/>
          <w:sz w:val="24"/>
        </w:rPr>
        <w:t>英国药品和健康产品管理局（</w:t>
      </w:r>
      <w:r w:rsidRPr="00596C91">
        <w:rPr>
          <w:rFonts w:hint="eastAsia"/>
          <w:sz w:val="24"/>
        </w:rPr>
        <w:t>MHRA</w:t>
      </w:r>
      <w:r w:rsidRPr="00596C91">
        <w:rPr>
          <w:rFonts w:hint="eastAsia"/>
          <w:sz w:val="24"/>
        </w:rPr>
        <w:t>）在</w:t>
      </w:r>
      <w:r w:rsidRPr="00596C91">
        <w:rPr>
          <w:rFonts w:hint="eastAsia"/>
          <w:sz w:val="24"/>
        </w:rPr>
        <w:t>2018</w:t>
      </w:r>
      <w:r w:rsidRPr="00596C91">
        <w:rPr>
          <w:rFonts w:hint="eastAsia"/>
          <w:sz w:val="24"/>
        </w:rPr>
        <w:t>年</w:t>
      </w:r>
      <w:r w:rsidRPr="00596C91">
        <w:rPr>
          <w:rFonts w:hint="eastAsia"/>
          <w:sz w:val="24"/>
        </w:rPr>
        <w:t>10</w:t>
      </w:r>
      <w:r w:rsidRPr="00596C91">
        <w:rPr>
          <w:rFonts w:hint="eastAsia"/>
          <w:sz w:val="24"/>
        </w:rPr>
        <w:t>月</w:t>
      </w:r>
      <w:r w:rsidRPr="00596C91">
        <w:rPr>
          <w:rFonts w:hint="eastAsia"/>
          <w:sz w:val="24"/>
        </w:rPr>
        <w:t>11</w:t>
      </w:r>
      <w:r w:rsidRPr="00596C91">
        <w:rPr>
          <w:rFonts w:hint="eastAsia"/>
          <w:sz w:val="24"/>
        </w:rPr>
        <w:t>日发布信息，警示芬太尼透皮贴剂意外暴露可能带来的严重风险。</w:t>
      </w:r>
    </w:p>
    <w:p w:rsidR="00596C91" w:rsidRPr="00596C91" w:rsidRDefault="00596C91" w:rsidP="00C54BC8">
      <w:pPr>
        <w:ind w:firstLineChars="200" w:firstLine="480"/>
        <w:rPr>
          <w:sz w:val="24"/>
        </w:rPr>
      </w:pPr>
      <w:r w:rsidRPr="00596C91">
        <w:rPr>
          <w:rFonts w:hint="eastAsia"/>
          <w:sz w:val="24"/>
        </w:rPr>
        <w:t>芬太尼是一种有效的阿片类镇痛药，使用规格为</w:t>
      </w:r>
      <w:r w:rsidRPr="00596C91">
        <w:rPr>
          <w:rFonts w:hint="eastAsia"/>
          <w:sz w:val="24"/>
        </w:rPr>
        <w:t>25</w:t>
      </w:r>
      <w:r w:rsidRPr="00596C91">
        <w:rPr>
          <w:rFonts w:hint="eastAsia"/>
          <w:sz w:val="24"/>
        </w:rPr>
        <w:t>μ</w:t>
      </w:r>
      <w:r w:rsidRPr="00596C91">
        <w:rPr>
          <w:rFonts w:hint="eastAsia"/>
          <w:sz w:val="24"/>
        </w:rPr>
        <w:t>g/</w:t>
      </w:r>
      <w:r w:rsidRPr="00596C91">
        <w:rPr>
          <w:rFonts w:hint="eastAsia"/>
          <w:sz w:val="24"/>
        </w:rPr>
        <w:t>小时的芬太尼贴剂相当于每日口服高达</w:t>
      </w:r>
      <w:r w:rsidRPr="00596C91">
        <w:rPr>
          <w:rFonts w:hint="eastAsia"/>
          <w:sz w:val="24"/>
        </w:rPr>
        <w:t>90</w:t>
      </w:r>
      <w:r w:rsidRPr="00596C91">
        <w:rPr>
          <w:rFonts w:hint="eastAsia"/>
          <w:sz w:val="24"/>
        </w:rPr>
        <w:t>毫克剂量的吗啡。芬太尼贴剂只用于那些先前已经耐受阿片类药物的患者，因为从未接受过阿片类药物的患者使用该药存在严重呼吸抑制的风险。芬太尼的初始剂量应基于患者的阿片类病史。</w:t>
      </w:r>
    </w:p>
    <w:p w:rsidR="00596C91" w:rsidRPr="00596C91" w:rsidRDefault="00596C91" w:rsidP="00C54BC8">
      <w:pPr>
        <w:ind w:firstLineChars="200" w:firstLine="480"/>
        <w:rPr>
          <w:sz w:val="24"/>
        </w:rPr>
      </w:pPr>
      <w:r w:rsidRPr="00596C91">
        <w:rPr>
          <w:rFonts w:hint="eastAsia"/>
          <w:sz w:val="24"/>
        </w:rPr>
        <w:t>英国</w:t>
      </w:r>
      <w:r w:rsidRPr="00596C91">
        <w:rPr>
          <w:rFonts w:hint="eastAsia"/>
          <w:sz w:val="24"/>
        </w:rPr>
        <w:t>MHRA</w:t>
      </w:r>
      <w:r w:rsidRPr="00596C91">
        <w:rPr>
          <w:rFonts w:hint="eastAsia"/>
          <w:sz w:val="24"/>
        </w:rPr>
        <w:t>警告，如果将贴片吞下或转移给另一个人，则可能意外暴露于芬太尼。</w:t>
      </w:r>
      <w:r w:rsidRPr="00596C91">
        <w:rPr>
          <w:rFonts w:hint="eastAsia"/>
          <w:sz w:val="24"/>
        </w:rPr>
        <w:t>2014</w:t>
      </w:r>
      <w:r w:rsidRPr="00596C91">
        <w:rPr>
          <w:rFonts w:hint="eastAsia"/>
          <w:sz w:val="24"/>
        </w:rPr>
        <w:t>年欧盟在对该品种进行评估后，在产品的特征摘要（</w:t>
      </w:r>
      <w:r w:rsidRPr="00596C91">
        <w:rPr>
          <w:rFonts w:hint="eastAsia"/>
          <w:sz w:val="24"/>
        </w:rPr>
        <w:t>SPC</w:t>
      </w:r>
      <w:r w:rsidRPr="00596C91">
        <w:rPr>
          <w:rFonts w:hint="eastAsia"/>
          <w:sz w:val="24"/>
        </w:rPr>
        <w:t>）和患者信息手册中均增加了关于最小化意外暴露风险的建议。</w:t>
      </w:r>
    </w:p>
    <w:p w:rsidR="00596C91" w:rsidRPr="00596C91" w:rsidRDefault="00596C91" w:rsidP="00C54BC8">
      <w:pPr>
        <w:ind w:firstLineChars="200" w:firstLine="480"/>
        <w:rPr>
          <w:sz w:val="24"/>
        </w:rPr>
      </w:pPr>
      <w:r w:rsidRPr="00596C91">
        <w:rPr>
          <w:rFonts w:hint="eastAsia"/>
          <w:sz w:val="24"/>
        </w:rPr>
        <w:t>MHRA</w:t>
      </w:r>
      <w:r w:rsidRPr="00596C91">
        <w:rPr>
          <w:rFonts w:hint="eastAsia"/>
          <w:sz w:val="24"/>
        </w:rPr>
        <w:t>陆续收到意外暴露芬太尼贴剂的报告，然而这种意外是可预防的。从</w:t>
      </w:r>
      <w:r w:rsidRPr="00596C91">
        <w:rPr>
          <w:rFonts w:hint="eastAsia"/>
          <w:sz w:val="24"/>
        </w:rPr>
        <w:t>2014</w:t>
      </w:r>
      <w:r w:rsidRPr="00596C91">
        <w:rPr>
          <w:rFonts w:hint="eastAsia"/>
          <w:sz w:val="24"/>
        </w:rPr>
        <w:t>年</w:t>
      </w:r>
      <w:r w:rsidRPr="00596C91">
        <w:rPr>
          <w:rFonts w:hint="eastAsia"/>
          <w:sz w:val="24"/>
        </w:rPr>
        <w:t>7</w:t>
      </w:r>
      <w:r w:rsidRPr="00596C91">
        <w:rPr>
          <w:rFonts w:hint="eastAsia"/>
          <w:sz w:val="24"/>
        </w:rPr>
        <w:t>月到</w:t>
      </w:r>
      <w:r w:rsidRPr="00596C91">
        <w:rPr>
          <w:rFonts w:hint="eastAsia"/>
          <w:sz w:val="24"/>
        </w:rPr>
        <w:t>2018</w:t>
      </w:r>
      <w:r w:rsidRPr="00596C91">
        <w:rPr>
          <w:rFonts w:hint="eastAsia"/>
          <w:sz w:val="24"/>
        </w:rPr>
        <w:t>年</w:t>
      </w:r>
      <w:r w:rsidRPr="00596C91">
        <w:rPr>
          <w:rFonts w:hint="eastAsia"/>
          <w:sz w:val="24"/>
        </w:rPr>
        <w:t>10</w:t>
      </w:r>
      <w:r w:rsidRPr="00596C91">
        <w:rPr>
          <w:rFonts w:hint="eastAsia"/>
          <w:sz w:val="24"/>
        </w:rPr>
        <w:t>月，已经收到</w:t>
      </w:r>
      <w:r w:rsidRPr="00596C91">
        <w:rPr>
          <w:rFonts w:hint="eastAsia"/>
          <w:sz w:val="24"/>
        </w:rPr>
        <w:t>5</w:t>
      </w:r>
      <w:r w:rsidRPr="00596C91">
        <w:rPr>
          <w:rFonts w:hint="eastAsia"/>
          <w:sz w:val="24"/>
        </w:rPr>
        <w:t>起死亡事件的报告，包括意外暴露、意外过量或产品粘附问题。死亡原因虽然不包含在所有报告中，但被理解为与阿片类药物毒性有关。</w:t>
      </w:r>
    </w:p>
    <w:p w:rsidR="00596C91" w:rsidRPr="00596C91" w:rsidRDefault="00596C91" w:rsidP="00C54BC8">
      <w:pPr>
        <w:ind w:firstLineChars="200" w:firstLine="480"/>
        <w:rPr>
          <w:sz w:val="24"/>
        </w:rPr>
      </w:pPr>
      <w:r w:rsidRPr="00596C91">
        <w:rPr>
          <w:rFonts w:hint="eastAsia"/>
          <w:sz w:val="24"/>
        </w:rPr>
        <w:t>建议为病人和护理人员提供清晰的信息。所有医务人员，特别是那些参与芬太尼贴剂处方和配药的专业人员，应向患者和护理人员提供关于意外暴露和摄入的风险，以及需要适当处理贴剂的明确信息。建议病人和护理人员严格遵守贴剂的包装、纸盒和内附患者信息手册中的说明。</w:t>
      </w:r>
    </w:p>
    <w:p w:rsidR="00596C91" w:rsidRPr="00596C91" w:rsidRDefault="00596C91" w:rsidP="00C54BC8">
      <w:pPr>
        <w:ind w:firstLineChars="200" w:firstLine="480"/>
        <w:rPr>
          <w:sz w:val="24"/>
        </w:rPr>
      </w:pPr>
      <w:r w:rsidRPr="00596C91">
        <w:rPr>
          <w:rFonts w:hint="eastAsia"/>
          <w:sz w:val="24"/>
        </w:rPr>
        <w:t>芬太尼贴剂应存放在儿童看不见和接触不到的地方。使用后，贴剂应折叠，使贴附剂的粘合面相互粘附，然后放回原来的包装中。使用过的贴剂应放在儿童看不见和接触不到的地方，因为即使用过的贴剂也含有可伤害儿童甚至致命的药物。建议患者向药师咨询如何安全处理使用或未使用过的贴剂。</w:t>
      </w:r>
    </w:p>
    <w:p w:rsidR="00596C91" w:rsidRPr="00596C91" w:rsidRDefault="00596C91" w:rsidP="00C54BC8">
      <w:pPr>
        <w:ind w:firstLineChars="200" w:firstLine="480"/>
        <w:rPr>
          <w:sz w:val="24"/>
        </w:rPr>
      </w:pPr>
      <w:r w:rsidRPr="00596C91">
        <w:rPr>
          <w:rFonts w:hint="eastAsia"/>
          <w:sz w:val="24"/>
        </w:rPr>
        <w:t>应警告患者和护理人员可能出现的芬太尼过量症状，包括呼吸抑制（呼吸困难或呼吸浅），疲劳，极度困倦或镇静，不能正常思考、行走或说话，感到晕眩或精神错乱。阿片类药物过量可能是致命的，需要紧急治疗。任何意外接触芬太尼贴剂者应立即就医，纳洛酮的使用可能有助于治疗阿片类药物过量。</w:t>
      </w:r>
    </w:p>
    <w:p w:rsidR="00596C91" w:rsidRPr="00596C91" w:rsidRDefault="00596C91" w:rsidP="00596C91">
      <w:pPr>
        <w:rPr>
          <w:sz w:val="24"/>
        </w:rPr>
      </w:pPr>
      <w:r w:rsidRPr="00596C91">
        <w:rPr>
          <w:rFonts w:hint="eastAsia"/>
          <w:sz w:val="24"/>
        </w:rPr>
        <w:t>给医务人员的建议：</w:t>
      </w:r>
    </w:p>
    <w:p w:rsidR="00596C91" w:rsidRPr="00596C91" w:rsidRDefault="00596C91" w:rsidP="00C54BC8">
      <w:pPr>
        <w:ind w:firstLineChars="150" w:firstLine="360"/>
        <w:rPr>
          <w:sz w:val="24"/>
        </w:rPr>
      </w:pPr>
      <w:r w:rsidRPr="00596C91">
        <w:rPr>
          <w:sz w:val="24"/>
        </w:rPr>
        <w:t>l </w:t>
      </w:r>
      <w:r w:rsidRPr="00596C91">
        <w:rPr>
          <w:rFonts w:hint="eastAsia"/>
          <w:sz w:val="24"/>
        </w:rPr>
        <w:t>始终向患者及其护理人员充分说明书芬太尼贴剂的安全使用方法，包括：不要超过处方剂量用药；遵循正确的贴剂使用频率，避免接触贴剂的粘附面，并在使用后洗手；切勿切割贴剂，并避免使贴剂遇热，包括热水（如盆浴、淋浴）；确保在使用新的贴剂前移除旧的贴剂；遵循安全存储和正确处理已用过贴剂的说明。</w:t>
      </w:r>
    </w:p>
    <w:p w:rsidR="00596C91" w:rsidRPr="00596C91" w:rsidRDefault="00596C91" w:rsidP="00C54BC8">
      <w:pPr>
        <w:ind w:firstLineChars="100" w:firstLine="240"/>
        <w:rPr>
          <w:sz w:val="24"/>
        </w:rPr>
      </w:pPr>
      <w:r w:rsidRPr="00596C91">
        <w:rPr>
          <w:sz w:val="24"/>
        </w:rPr>
        <w:t>l </w:t>
      </w:r>
      <w:r w:rsidRPr="00596C91">
        <w:rPr>
          <w:rFonts w:hint="eastAsia"/>
          <w:sz w:val="24"/>
        </w:rPr>
        <w:t>确保患者和护理人员了解芬太尼过量的症状和体征，并建议他们如果怀疑过量使用须立即就医。</w:t>
      </w:r>
    </w:p>
    <w:p w:rsidR="00596C91" w:rsidRPr="00596C91" w:rsidRDefault="00596C91" w:rsidP="00C54BC8">
      <w:pPr>
        <w:ind w:firstLineChars="100" w:firstLine="240"/>
        <w:rPr>
          <w:sz w:val="24"/>
        </w:rPr>
      </w:pPr>
      <w:r w:rsidRPr="00596C91">
        <w:rPr>
          <w:sz w:val="24"/>
        </w:rPr>
        <w:t>l </w:t>
      </w:r>
      <w:r w:rsidRPr="00596C91">
        <w:rPr>
          <w:rFonts w:hint="eastAsia"/>
          <w:sz w:val="24"/>
        </w:rPr>
        <w:t>对于出现严重不良事件的患者，立即移除贴剂，并在此后监测</w:t>
      </w:r>
      <w:r w:rsidRPr="00596C91">
        <w:rPr>
          <w:rFonts w:hint="eastAsia"/>
          <w:sz w:val="24"/>
        </w:rPr>
        <w:t>24</w:t>
      </w:r>
      <w:r w:rsidRPr="00596C91">
        <w:rPr>
          <w:rFonts w:hint="eastAsia"/>
          <w:sz w:val="24"/>
        </w:rPr>
        <w:t>小时。</w:t>
      </w:r>
    </w:p>
    <w:p w:rsidR="00596C91" w:rsidRPr="00596C91" w:rsidRDefault="00596C91" w:rsidP="00C54BC8">
      <w:pPr>
        <w:ind w:firstLineChars="100" w:firstLine="240"/>
        <w:rPr>
          <w:sz w:val="24"/>
        </w:rPr>
      </w:pPr>
      <w:r w:rsidRPr="00596C91">
        <w:rPr>
          <w:sz w:val="24"/>
        </w:rPr>
        <w:t>l </w:t>
      </w:r>
      <w:r w:rsidRPr="00596C91">
        <w:rPr>
          <w:rFonts w:hint="eastAsia"/>
          <w:sz w:val="24"/>
        </w:rPr>
        <w:t>通过黄卡计划报告发生的意外伤害或可疑不良反应。</w:t>
      </w:r>
    </w:p>
    <w:p w:rsidR="00596C91" w:rsidRDefault="00596C91" w:rsidP="00BB23BE">
      <w:pPr>
        <w:tabs>
          <w:tab w:val="left" w:pos="8960"/>
        </w:tabs>
        <w:spacing w:line="620" w:lineRule="exact"/>
        <w:rPr>
          <w:rFonts w:ascii="宋体" w:eastAsia="宋体" w:hAnsi="宋体" w:cs="宋体"/>
          <w:sz w:val="28"/>
          <w:szCs w:val="28"/>
        </w:rPr>
      </w:pPr>
    </w:p>
    <w:p w:rsidR="00596C91" w:rsidRDefault="00596C91" w:rsidP="00BB23BE">
      <w:pPr>
        <w:tabs>
          <w:tab w:val="left" w:pos="8960"/>
        </w:tabs>
        <w:spacing w:line="620" w:lineRule="exact"/>
        <w:rPr>
          <w:rFonts w:ascii="宋体" w:eastAsia="宋体" w:hAnsi="宋体" w:cs="宋体"/>
          <w:sz w:val="28"/>
          <w:szCs w:val="28"/>
        </w:rPr>
      </w:pPr>
    </w:p>
    <w:p w:rsidR="00C54BC8" w:rsidRDefault="00C54BC8" w:rsidP="00BB23BE">
      <w:pPr>
        <w:tabs>
          <w:tab w:val="left" w:pos="8960"/>
        </w:tabs>
        <w:spacing w:line="620" w:lineRule="exact"/>
        <w:rPr>
          <w:rFonts w:ascii="宋体" w:eastAsia="宋体" w:hAnsi="宋体" w:cs="宋体"/>
          <w:sz w:val="28"/>
          <w:szCs w:val="28"/>
        </w:rPr>
      </w:pPr>
    </w:p>
    <w:p w:rsidR="00596C91" w:rsidRPr="00596C91" w:rsidRDefault="00596C91" w:rsidP="00596C91">
      <w:pPr>
        <w:jc w:val="center"/>
        <w:rPr>
          <w:rFonts w:ascii="黑体" w:eastAsia="黑体" w:hAnsi="黑体"/>
          <w:b/>
          <w:szCs w:val="32"/>
        </w:rPr>
      </w:pPr>
      <w:r w:rsidRPr="00596C91">
        <w:rPr>
          <w:rFonts w:ascii="黑体" w:eastAsia="黑体" w:hAnsi="黑体" w:hint="eastAsia"/>
          <w:b/>
          <w:szCs w:val="32"/>
        </w:rPr>
        <w:t>欧盟采取措施控制氟喹诺酮和喹诺酮类药品的严重风险</w:t>
      </w:r>
    </w:p>
    <w:p w:rsidR="00596C91" w:rsidRPr="00596C91" w:rsidRDefault="00596C91" w:rsidP="00C54BC8">
      <w:pPr>
        <w:ind w:firstLineChars="200" w:firstLine="480"/>
        <w:rPr>
          <w:sz w:val="24"/>
        </w:rPr>
      </w:pPr>
      <w:r w:rsidRPr="00596C91">
        <w:rPr>
          <w:rFonts w:hint="eastAsia"/>
          <w:sz w:val="24"/>
        </w:rPr>
        <w:t>欧洲药品管理局（</w:t>
      </w:r>
      <w:r w:rsidRPr="00596C91">
        <w:rPr>
          <w:rFonts w:hint="eastAsia"/>
          <w:sz w:val="24"/>
        </w:rPr>
        <w:t>EMA</w:t>
      </w:r>
      <w:r w:rsidRPr="00596C91">
        <w:rPr>
          <w:rFonts w:hint="eastAsia"/>
          <w:sz w:val="24"/>
        </w:rPr>
        <w:t>）于</w:t>
      </w:r>
      <w:r w:rsidRPr="00596C91">
        <w:rPr>
          <w:rFonts w:hint="eastAsia"/>
          <w:sz w:val="24"/>
        </w:rPr>
        <w:t>2018</w:t>
      </w:r>
      <w:r w:rsidRPr="00596C91">
        <w:rPr>
          <w:rFonts w:hint="eastAsia"/>
          <w:sz w:val="24"/>
        </w:rPr>
        <w:t>年</w:t>
      </w:r>
      <w:r w:rsidRPr="00596C91">
        <w:rPr>
          <w:rFonts w:hint="eastAsia"/>
          <w:sz w:val="24"/>
        </w:rPr>
        <w:t>10</w:t>
      </w:r>
      <w:r w:rsidRPr="00596C91">
        <w:rPr>
          <w:rFonts w:hint="eastAsia"/>
          <w:sz w:val="24"/>
        </w:rPr>
        <w:t>月</w:t>
      </w:r>
      <w:r w:rsidRPr="00596C91">
        <w:rPr>
          <w:rFonts w:hint="eastAsia"/>
          <w:sz w:val="24"/>
        </w:rPr>
        <w:t>5</w:t>
      </w:r>
      <w:r w:rsidRPr="00596C91">
        <w:rPr>
          <w:rFonts w:hint="eastAsia"/>
          <w:sz w:val="24"/>
        </w:rPr>
        <w:t>日发布信息，称其药物警戒和风险评估委员会（</w:t>
      </w:r>
      <w:r w:rsidRPr="00596C91">
        <w:rPr>
          <w:rFonts w:hint="eastAsia"/>
          <w:sz w:val="24"/>
        </w:rPr>
        <w:t>PRAC</w:t>
      </w:r>
      <w:r w:rsidRPr="00596C91">
        <w:rPr>
          <w:rFonts w:hint="eastAsia"/>
          <w:sz w:val="24"/>
        </w:rPr>
        <w:t>）通过对使用氟喹诺酮和喹诺酮发生致残性和潜在长期性副作用报告的评估，建议限制这些抗生素（口服制剂、注射制剂和吸入剂）的使用。评估综合了</w:t>
      </w:r>
      <w:r w:rsidRPr="00596C91">
        <w:rPr>
          <w:rFonts w:hint="eastAsia"/>
          <w:sz w:val="24"/>
        </w:rPr>
        <w:t>EMA</w:t>
      </w:r>
      <w:r w:rsidRPr="00596C91">
        <w:rPr>
          <w:rFonts w:hint="eastAsia"/>
          <w:sz w:val="24"/>
        </w:rPr>
        <w:t>于</w:t>
      </w:r>
      <w:r w:rsidRPr="00596C91">
        <w:rPr>
          <w:rFonts w:hint="eastAsia"/>
          <w:sz w:val="24"/>
        </w:rPr>
        <w:t>2018</w:t>
      </w:r>
      <w:r w:rsidRPr="00596C91">
        <w:rPr>
          <w:rFonts w:hint="eastAsia"/>
          <w:sz w:val="24"/>
        </w:rPr>
        <w:t>年</w:t>
      </w:r>
      <w:r w:rsidRPr="00596C91">
        <w:rPr>
          <w:rFonts w:hint="eastAsia"/>
          <w:sz w:val="24"/>
        </w:rPr>
        <w:t>6</w:t>
      </w:r>
      <w:r w:rsidRPr="00596C91">
        <w:rPr>
          <w:rFonts w:hint="eastAsia"/>
          <w:sz w:val="24"/>
        </w:rPr>
        <w:t>月召开的关于氟喹诺酮和喹诺酮听证会上患者、医务人员以及学术界的观点。使用氟喹诺酮和喹诺酮患者发生了罕见的长期性和致残性副作用，主要涉及肌肉、肌腱、骨骼和神经系统。</w:t>
      </w:r>
    </w:p>
    <w:p w:rsidR="00596C91" w:rsidRPr="00596C91" w:rsidRDefault="00596C91" w:rsidP="00C54BC8">
      <w:pPr>
        <w:ind w:firstLineChars="200" w:firstLine="480"/>
        <w:rPr>
          <w:sz w:val="24"/>
        </w:rPr>
      </w:pPr>
      <w:r w:rsidRPr="00596C91">
        <w:rPr>
          <w:rFonts w:hint="eastAsia"/>
          <w:sz w:val="24"/>
        </w:rPr>
        <w:t>通过对这些副作用的评价，</w:t>
      </w:r>
      <w:r w:rsidRPr="00596C91">
        <w:rPr>
          <w:rFonts w:hint="eastAsia"/>
          <w:sz w:val="24"/>
        </w:rPr>
        <w:t>PRAC</w:t>
      </w:r>
      <w:r w:rsidRPr="00596C91">
        <w:rPr>
          <w:rFonts w:hint="eastAsia"/>
          <w:sz w:val="24"/>
        </w:rPr>
        <w:t>建议一些药物，包括所有含喹诺酮的药物，应撤出市场。因为这些药物仅批准用于此类抗生素不应再允许治疗的感染。</w:t>
      </w:r>
    </w:p>
    <w:p w:rsidR="00596C91" w:rsidRPr="00596C91" w:rsidRDefault="00596C91" w:rsidP="00596C91">
      <w:pPr>
        <w:rPr>
          <w:sz w:val="24"/>
        </w:rPr>
      </w:pPr>
      <w:bookmarkStart w:id="0" w:name="OLE_LINK1"/>
      <w:r w:rsidRPr="00596C91">
        <w:rPr>
          <w:rFonts w:hint="eastAsia"/>
          <w:sz w:val="24"/>
        </w:rPr>
        <w:t>PRAC</w:t>
      </w:r>
      <w:bookmarkEnd w:id="0"/>
      <w:r w:rsidRPr="00596C91">
        <w:rPr>
          <w:rFonts w:hint="eastAsia"/>
          <w:sz w:val="24"/>
        </w:rPr>
        <w:t>建议保留氟喹诺酮类抗生素，但不应用于以下情况：</w:t>
      </w:r>
    </w:p>
    <w:p w:rsidR="00596C91" w:rsidRPr="00596C91" w:rsidRDefault="00596C91" w:rsidP="00596C91">
      <w:pPr>
        <w:rPr>
          <w:sz w:val="24"/>
        </w:rPr>
      </w:pPr>
      <w:r w:rsidRPr="00596C91">
        <w:rPr>
          <w:sz w:val="24"/>
        </w:rPr>
        <w:t>l </w:t>
      </w:r>
      <w:r w:rsidRPr="00596C91">
        <w:rPr>
          <w:rFonts w:hint="eastAsia"/>
          <w:sz w:val="24"/>
        </w:rPr>
        <w:t> </w:t>
      </w:r>
      <w:r w:rsidRPr="00596C91">
        <w:rPr>
          <w:rFonts w:hint="eastAsia"/>
          <w:sz w:val="24"/>
        </w:rPr>
        <w:t>治疗那些可能不治疗也会好转或不严重的感染，如喉部感染；</w:t>
      </w:r>
    </w:p>
    <w:p w:rsidR="00596C91" w:rsidRPr="00596C91" w:rsidRDefault="00596C91" w:rsidP="00596C91">
      <w:pPr>
        <w:rPr>
          <w:sz w:val="24"/>
        </w:rPr>
      </w:pPr>
      <w:r w:rsidRPr="00596C91">
        <w:rPr>
          <w:sz w:val="24"/>
        </w:rPr>
        <w:t>l </w:t>
      </w:r>
      <w:r w:rsidRPr="00596C91">
        <w:rPr>
          <w:rFonts w:hint="eastAsia"/>
          <w:sz w:val="24"/>
        </w:rPr>
        <w:t>预防旅行者腹泻（</w:t>
      </w:r>
      <w:r w:rsidRPr="00596C91">
        <w:rPr>
          <w:rFonts w:hint="eastAsia"/>
          <w:sz w:val="24"/>
        </w:rPr>
        <w:t>traveller</w:t>
      </w:r>
      <w:r w:rsidRPr="00596C91">
        <w:rPr>
          <w:rFonts w:hint="eastAsia"/>
          <w:sz w:val="24"/>
        </w:rPr>
        <w:t>’</w:t>
      </w:r>
      <w:r w:rsidRPr="00596C91">
        <w:rPr>
          <w:rFonts w:hint="eastAsia"/>
          <w:sz w:val="24"/>
        </w:rPr>
        <w:t>s diarrhoea</w:t>
      </w:r>
      <w:r w:rsidRPr="00596C91">
        <w:rPr>
          <w:rFonts w:hint="eastAsia"/>
          <w:sz w:val="24"/>
        </w:rPr>
        <w:t>）或复发性下尿路感染（膀胱以下的尿路感染）；</w:t>
      </w:r>
    </w:p>
    <w:p w:rsidR="00596C91" w:rsidRPr="00596C91" w:rsidRDefault="00596C91" w:rsidP="00596C91">
      <w:pPr>
        <w:rPr>
          <w:sz w:val="24"/>
        </w:rPr>
      </w:pPr>
      <w:r w:rsidRPr="00596C91">
        <w:rPr>
          <w:sz w:val="24"/>
        </w:rPr>
        <w:t>l </w:t>
      </w:r>
      <w:r w:rsidRPr="00596C91">
        <w:rPr>
          <w:rFonts w:hint="eastAsia"/>
          <w:sz w:val="24"/>
        </w:rPr>
        <w:t>治疗那些之前使用氟喹诺酮或喹诺酮类抗生素发生过严重副作用的患者；</w:t>
      </w:r>
    </w:p>
    <w:p w:rsidR="00596C91" w:rsidRPr="00596C91" w:rsidRDefault="00596C91" w:rsidP="00596C91">
      <w:pPr>
        <w:rPr>
          <w:sz w:val="24"/>
        </w:rPr>
      </w:pPr>
      <w:r w:rsidRPr="00596C91">
        <w:rPr>
          <w:sz w:val="24"/>
        </w:rPr>
        <w:t>l </w:t>
      </w:r>
      <w:r w:rsidRPr="00596C91">
        <w:rPr>
          <w:rFonts w:hint="eastAsia"/>
          <w:sz w:val="24"/>
        </w:rPr>
        <w:t>治疗轻度或中度的严重感染，其他正常推荐治疗上述感染的抗菌药无法使用的情况除外；</w:t>
      </w:r>
    </w:p>
    <w:p w:rsidR="00596C91" w:rsidRPr="00596C91" w:rsidRDefault="00596C91" w:rsidP="00C54BC8">
      <w:pPr>
        <w:ind w:firstLineChars="200" w:firstLine="480"/>
        <w:rPr>
          <w:sz w:val="24"/>
        </w:rPr>
      </w:pPr>
      <w:r w:rsidRPr="00596C91">
        <w:rPr>
          <w:rFonts w:hint="eastAsia"/>
          <w:sz w:val="24"/>
        </w:rPr>
        <w:t>PRAC</w:t>
      </w:r>
      <w:r w:rsidRPr="00596C91">
        <w:rPr>
          <w:rFonts w:hint="eastAsia"/>
          <w:sz w:val="24"/>
        </w:rPr>
        <w:t>建议氟喹诺酮类抗生素谨慎用于以下患者：老年人、肾功能不全患者、移植患者或那些使用全身用糖皮质激素的患者，这些患者发生氟喹诺酮或喹诺酮导致的肌腱断裂的风险较高。</w:t>
      </w:r>
    </w:p>
    <w:p w:rsidR="00596C91" w:rsidRPr="00596C91" w:rsidRDefault="00596C91" w:rsidP="00C54BC8">
      <w:pPr>
        <w:ind w:firstLineChars="200" w:firstLine="480"/>
        <w:rPr>
          <w:sz w:val="24"/>
        </w:rPr>
      </w:pPr>
      <w:r w:rsidRPr="00596C91">
        <w:rPr>
          <w:rFonts w:hint="eastAsia"/>
          <w:sz w:val="24"/>
        </w:rPr>
        <w:t>PRAC</w:t>
      </w:r>
      <w:r w:rsidRPr="00596C91">
        <w:rPr>
          <w:rFonts w:hint="eastAsia"/>
          <w:sz w:val="24"/>
        </w:rPr>
        <w:t>建议，医务人员应警告患者在出现肌肉、肌腱或骨骼副作用的早期症状（例如肌腱发炎或撕裂、肌痛或肌无力、关节疼痛或肿胀）或者神经系统副作用早期症状（例如感觉针刺或针扎感、疲乏、抑郁、意识模糊、自杀意念、睡眠障碍、视觉和听觉问题、味觉和嗅觉改变）时就应停用氟喹诺酮类抗生素。</w:t>
      </w:r>
    </w:p>
    <w:p w:rsidR="00596C91" w:rsidRPr="00596C91" w:rsidRDefault="00596C91" w:rsidP="00C54BC8">
      <w:pPr>
        <w:ind w:firstLineChars="200" w:firstLine="480"/>
        <w:rPr>
          <w:sz w:val="24"/>
        </w:rPr>
      </w:pPr>
      <w:r w:rsidRPr="00596C91">
        <w:rPr>
          <w:rFonts w:hint="eastAsia"/>
          <w:sz w:val="24"/>
        </w:rPr>
        <w:t>氟喹诺酮类药品的说明书将进行更新，以体现限制使用的信息。</w:t>
      </w:r>
      <w:r w:rsidRPr="00596C91">
        <w:rPr>
          <w:rFonts w:hint="eastAsia"/>
          <w:sz w:val="24"/>
        </w:rPr>
        <w:t>PRAC</w:t>
      </w:r>
      <w:r w:rsidRPr="00596C91">
        <w:rPr>
          <w:rFonts w:hint="eastAsia"/>
          <w:sz w:val="24"/>
        </w:rPr>
        <w:t>的建议将提交给</w:t>
      </w:r>
      <w:r w:rsidRPr="00596C91">
        <w:rPr>
          <w:rFonts w:hint="eastAsia"/>
          <w:sz w:val="24"/>
        </w:rPr>
        <w:t>EMA</w:t>
      </w:r>
      <w:r w:rsidRPr="00596C91">
        <w:rPr>
          <w:rFonts w:hint="eastAsia"/>
          <w:sz w:val="24"/>
        </w:rPr>
        <w:t>的人用医药产品委员会（</w:t>
      </w:r>
      <w:r w:rsidRPr="00596C91">
        <w:rPr>
          <w:rFonts w:hint="eastAsia"/>
          <w:sz w:val="24"/>
        </w:rPr>
        <w:t>CHMP</w:t>
      </w:r>
      <w:r w:rsidRPr="00596C91">
        <w:rPr>
          <w:rFonts w:hint="eastAsia"/>
          <w:sz w:val="24"/>
        </w:rPr>
        <w:t>），被其采纳后将成为</w:t>
      </w:r>
      <w:r w:rsidRPr="00596C91">
        <w:rPr>
          <w:rFonts w:hint="eastAsia"/>
          <w:sz w:val="24"/>
        </w:rPr>
        <w:t>EMA</w:t>
      </w:r>
      <w:r w:rsidRPr="00596C91">
        <w:rPr>
          <w:rFonts w:hint="eastAsia"/>
          <w:sz w:val="24"/>
        </w:rPr>
        <w:t>的最终意见，并经欧盟委员会批准成为具有法律约束力的决定在欧盟成员国内适用。</w:t>
      </w:r>
    </w:p>
    <w:p w:rsidR="00596C91" w:rsidRPr="00596C91" w:rsidRDefault="00596C91" w:rsidP="00C54BC8">
      <w:pPr>
        <w:ind w:firstLineChars="200" w:firstLine="480"/>
        <w:rPr>
          <w:sz w:val="24"/>
        </w:rPr>
      </w:pPr>
      <w:r w:rsidRPr="00596C91">
        <w:rPr>
          <w:rFonts w:hint="eastAsia"/>
          <w:sz w:val="24"/>
        </w:rPr>
        <w:t>氟喹诺酮和喹诺酮是一类广谱抗生素，对革兰氏阴性菌和革兰氏阳性菌均具有抗菌活性。本次评估涵盖的氟喹诺酮类抗生素包括：环丙沙星、氟甲喹（</w:t>
      </w:r>
      <w:r w:rsidRPr="00596C91">
        <w:rPr>
          <w:rFonts w:hint="eastAsia"/>
          <w:sz w:val="24"/>
        </w:rPr>
        <w:t>flumequine</w:t>
      </w:r>
      <w:r w:rsidRPr="00596C91">
        <w:rPr>
          <w:rFonts w:hint="eastAsia"/>
          <w:sz w:val="24"/>
        </w:rPr>
        <w:t>）、左氧氟沙星、洛美沙星、莫西沙星、诺氟沙星、氧氟沙星、培氟沙星、普卢利沙星和芦氟沙星，喹诺酮类抗生素包括：西诺沙星（</w:t>
      </w:r>
      <w:r w:rsidRPr="00596C91">
        <w:rPr>
          <w:rFonts w:hint="eastAsia"/>
          <w:sz w:val="24"/>
        </w:rPr>
        <w:t>cinoxacin</w:t>
      </w:r>
      <w:r w:rsidRPr="00596C91">
        <w:rPr>
          <w:rFonts w:hint="eastAsia"/>
          <w:sz w:val="24"/>
        </w:rPr>
        <w:t>）、萘啶酸、吡哌酸。此次评估仅涉及全身给药（口服和注射）和吸入给药的药物。</w:t>
      </w:r>
    </w:p>
    <w:p w:rsidR="005D10BC" w:rsidRDefault="005D10BC" w:rsidP="00BB23BE">
      <w:pPr>
        <w:tabs>
          <w:tab w:val="left" w:pos="8960"/>
        </w:tabs>
        <w:spacing w:line="620" w:lineRule="exact"/>
        <w:rPr>
          <w:rFonts w:ascii="宋体" w:eastAsia="宋体" w:hAnsi="宋体" w:cs="宋体"/>
          <w:sz w:val="28"/>
          <w:szCs w:val="28"/>
        </w:rPr>
        <w:sectPr w:rsidR="005D10BC" w:rsidSect="00800C91">
          <w:pgSz w:w="11906" w:h="16838"/>
          <w:pgMar w:top="1440" w:right="1800" w:bottom="1440" w:left="1800" w:header="851" w:footer="992" w:gutter="0"/>
          <w:cols w:space="425"/>
          <w:docGrid w:type="lines" w:linePitch="312"/>
        </w:sectPr>
      </w:pPr>
    </w:p>
    <w:p w:rsidR="005D10BC" w:rsidRPr="005D10BC" w:rsidRDefault="005D10BC" w:rsidP="005D10BC">
      <w:pPr>
        <w:rPr>
          <w:sz w:val="28"/>
          <w:szCs w:val="28"/>
        </w:rPr>
      </w:pPr>
      <w:r w:rsidRPr="005D10BC">
        <w:rPr>
          <w:rFonts w:hint="eastAsia"/>
          <w:sz w:val="28"/>
          <w:szCs w:val="28"/>
        </w:rPr>
        <w:lastRenderedPageBreak/>
        <w:t>【药物不良反应】</w:t>
      </w:r>
    </w:p>
    <w:p w:rsidR="005D10BC" w:rsidRPr="005D10BC" w:rsidRDefault="005D10BC" w:rsidP="005D10BC">
      <w:pPr>
        <w:jc w:val="center"/>
        <w:rPr>
          <w:sz w:val="24"/>
        </w:rPr>
      </w:pPr>
      <w:r w:rsidRPr="005D10BC">
        <w:rPr>
          <w:rFonts w:ascii="黑体" w:eastAsia="黑体" w:hAnsi="黑体" w:hint="eastAsia"/>
          <w:b/>
          <w:szCs w:val="32"/>
        </w:rPr>
        <w:t>警惕甲氧氯普胺引起的锥体外系反应</w:t>
      </w:r>
      <w:r w:rsidRPr="005D10BC">
        <w:rPr>
          <w:rFonts w:ascii="黑体" w:eastAsia="黑体" w:hAnsi="黑体"/>
          <w:b/>
          <w:szCs w:val="32"/>
        </w:rPr>
        <w:br/>
      </w:r>
      <w:r w:rsidRPr="005D10BC">
        <w:rPr>
          <w:sz w:val="24"/>
        </w:rPr>
        <w:t xml:space="preserve">　　药品存在两重性</w:t>
      </w:r>
      <w:r w:rsidRPr="005D10BC">
        <w:rPr>
          <w:sz w:val="24"/>
        </w:rPr>
        <w:t>,</w:t>
      </w:r>
      <w:r w:rsidRPr="005D10BC">
        <w:rPr>
          <w:sz w:val="24"/>
        </w:rPr>
        <w:t>它具有治疗疾病的作用</w:t>
      </w:r>
      <w:r w:rsidRPr="005D10BC">
        <w:rPr>
          <w:sz w:val="24"/>
        </w:rPr>
        <w:t>,</w:t>
      </w:r>
      <w:r w:rsidRPr="005D10BC">
        <w:rPr>
          <w:sz w:val="24"/>
        </w:rPr>
        <w:t>但也存在一定的不良反应。无论是药品上市前审评还是上市后再评价</w:t>
      </w:r>
      <w:r w:rsidRPr="005D10BC">
        <w:rPr>
          <w:sz w:val="24"/>
        </w:rPr>
        <w:t>,</w:t>
      </w:r>
      <w:r w:rsidRPr="005D10BC">
        <w:rPr>
          <w:sz w:val="24"/>
        </w:rPr>
        <w:t>都需要衡量治疗人群使用药品获得的治疗收益和可能面临的风险</w:t>
      </w:r>
      <w:r w:rsidRPr="005D10BC">
        <w:rPr>
          <w:sz w:val="24"/>
        </w:rPr>
        <w:t>,</w:t>
      </w:r>
      <w:r w:rsidRPr="005D10BC">
        <w:rPr>
          <w:sz w:val="24"/>
        </w:rPr>
        <w:t>如果治疗收益大于风险</w:t>
      </w:r>
      <w:r w:rsidRPr="005D10BC">
        <w:rPr>
          <w:sz w:val="24"/>
        </w:rPr>
        <w:t>,</w:t>
      </w:r>
      <w:r w:rsidRPr="005D10BC">
        <w:rPr>
          <w:sz w:val="24"/>
        </w:rPr>
        <w:t>一般认为这个药品是安全的。</w:t>
      </w:r>
    </w:p>
    <w:p w:rsidR="005D10BC" w:rsidRPr="005D10BC" w:rsidRDefault="005D10BC" w:rsidP="005D10BC">
      <w:pPr>
        <w:rPr>
          <w:sz w:val="24"/>
        </w:rPr>
      </w:pPr>
      <w:r w:rsidRPr="005D10BC">
        <w:rPr>
          <w:sz w:val="24"/>
        </w:rPr>
        <w:t xml:space="preserve">　　药品不良反应信息通报制度是我国药品监督管理部门为保障公众用药安全而建立的一项制度。《药品不良反应信息通报》面向社会公开发布以来，对推动我国药品不良反应监测工作，保障广大人民群众用药安全起到了积极作用。</w:t>
      </w:r>
    </w:p>
    <w:p w:rsidR="005D10BC" w:rsidRPr="005D10BC" w:rsidRDefault="005D10BC" w:rsidP="005D10BC">
      <w:pPr>
        <w:rPr>
          <w:sz w:val="24"/>
        </w:rPr>
      </w:pPr>
      <w:r w:rsidRPr="005D10BC">
        <w:rPr>
          <w:sz w:val="24"/>
        </w:rPr>
        <w:t xml:space="preserve">　　本期通报为《警惕甲氧氯普胺引起的锥体外系反应》。甲氧氯普胺是一种多巴胺受体拮抗药，可直接作用于延髓催吐化学感受区，同时具有</w:t>
      </w:r>
      <w:r w:rsidRPr="005D10BC">
        <w:rPr>
          <w:sz w:val="24"/>
        </w:rPr>
        <w:t>5-HT3</w:t>
      </w:r>
      <w:r w:rsidRPr="005D10BC">
        <w:rPr>
          <w:sz w:val="24"/>
        </w:rPr>
        <w:t>受体拮抗药特性以及拟副交感神经药的活性。甲氧氯普胺的常见不良反应是锥体外系反应。近期，国外监管部门提示长期使用甲氧氯普胺可能引发迟发性运动障碍，迟发性运动障碍也是锥体外系反应的一种表现，是一种不可逆的锥体外系反应，目前我国药品不良反应监测数据库未收到典型病例报告。为使广大医务人员，药品生产企业和公众了解该类药品的安全性问题，指导临床合理用药，降低用药风险，本期对该品种可能引起的锥体外系反应进行通报。</w:t>
      </w:r>
    </w:p>
    <w:p w:rsidR="005D10BC" w:rsidRPr="005D10BC" w:rsidRDefault="005D10BC" w:rsidP="005D10BC">
      <w:pPr>
        <w:rPr>
          <w:sz w:val="24"/>
        </w:rPr>
      </w:pPr>
      <w:r w:rsidRPr="005D10BC">
        <w:rPr>
          <w:sz w:val="24"/>
        </w:rPr>
        <w:t xml:space="preserve">　　　　　　　　　　　　　　　　　警惕甲氧氯普胺引起的锥体外系反应</w:t>
      </w:r>
      <w:r w:rsidRPr="005D10BC">
        <w:rPr>
          <w:sz w:val="24"/>
        </w:rPr>
        <w:br/>
      </w:r>
      <w:r w:rsidRPr="005D10BC">
        <w:rPr>
          <w:sz w:val="24"/>
        </w:rPr>
        <w:t xml:space="preserve">　　甲氧氯普胺是一种多巴胺受体拮抗药，可直接作用于延髓催吐化学感受区，同时还具有</w:t>
      </w:r>
      <w:r w:rsidRPr="005D10BC">
        <w:rPr>
          <w:sz w:val="24"/>
        </w:rPr>
        <w:t>5-HT3</w:t>
      </w:r>
      <w:r w:rsidRPr="005D10BC">
        <w:rPr>
          <w:sz w:val="24"/>
        </w:rPr>
        <w:t>受体拮抗药特性，其适应症包括慢性胃炎，胃下垂以及功能消化不良等引起的腹胀、腹痛、嗳气；胃排空延缓以及糖尿病性胃排空障碍；以及手术、化疗、外伤、颅脑损伤等引起的恶心和呕吐等。目前，我国批准的甲氧氯普胺制剂包括片剂、口服液、注射剂、栓剂等。</w:t>
      </w:r>
    </w:p>
    <w:p w:rsidR="005D10BC" w:rsidRPr="005D10BC" w:rsidRDefault="005D10BC" w:rsidP="005D10BC">
      <w:pPr>
        <w:rPr>
          <w:sz w:val="24"/>
        </w:rPr>
      </w:pPr>
      <w:r w:rsidRPr="005D10BC">
        <w:rPr>
          <w:sz w:val="24"/>
        </w:rPr>
        <w:t xml:space="preserve">　　</w:t>
      </w:r>
      <w:r w:rsidRPr="005D10BC">
        <w:rPr>
          <w:sz w:val="24"/>
        </w:rPr>
        <w:t>2014</w:t>
      </w:r>
      <w:r w:rsidRPr="005D10BC">
        <w:rPr>
          <w:sz w:val="24"/>
        </w:rPr>
        <w:t>年国家药品不良反应监测数据库共收到甲氧氯普胺不良反应报告</w:t>
      </w:r>
      <w:r w:rsidRPr="005D10BC">
        <w:rPr>
          <w:sz w:val="24"/>
        </w:rPr>
        <w:t>1178</w:t>
      </w:r>
      <w:r w:rsidRPr="005D10BC">
        <w:rPr>
          <w:sz w:val="24"/>
        </w:rPr>
        <w:t>例，包括严重不良反应报告</w:t>
      </w:r>
      <w:r w:rsidRPr="005D10BC">
        <w:rPr>
          <w:sz w:val="24"/>
        </w:rPr>
        <w:t>86</w:t>
      </w:r>
      <w:r w:rsidRPr="005D10BC">
        <w:rPr>
          <w:sz w:val="24"/>
        </w:rPr>
        <w:t>例</w:t>
      </w:r>
      <w:r w:rsidRPr="005D10BC">
        <w:rPr>
          <w:sz w:val="24"/>
        </w:rPr>
        <w:t>(7.3%)</w:t>
      </w:r>
      <w:r w:rsidRPr="005D10BC">
        <w:rPr>
          <w:sz w:val="24"/>
        </w:rPr>
        <w:t>，共涉及不良反应表现</w:t>
      </w:r>
      <w:r w:rsidRPr="005D10BC">
        <w:rPr>
          <w:sz w:val="24"/>
        </w:rPr>
        <w:t>1632</w:t>
      </w:r>
      <w:r w:rsidRPr="005D10BC">
        <w:rPr>
          <w:sz w:val="24"/>
        </w:rPr>
        <w:t>例次，其中中枢及外周神经系统损害占</w:t>
      </w:r>
      <w:r w:rsidRPr="005D10BC">
        <w:rPr>
          <w:sz w:val="24"/>
        </w:rPr>
        <w:t>31.6%</w:t>
      </w:r>
      <w:r w:rsidRPr="005D10BC">
        <w:rPr>
          <w:sz w:val="24"/>
        </w:rPr>
        <w:t>，精神紊乱占</w:t>
      </w:r>
      <w:r w:rsidRPr="005D10BC">
        <w:rPr>
          <w:sz w:val="24"/>
        </w:rPr>
        <w:t>15.6%</w:t>
      </w:r>
      <w:r w:rsidRPr="005D10BC">
        <w:rPr>
          <w:sz w:val="24"/>
        </w:rPr>
        <w:t>。</w:t>
      </w:r>
    </w:p>
    <w:p w:rsidR="005D10BC" w:rsidRPr="005D10BC" w:rsidRDefault="005D10BC" w:rsidP="005D10BC">
      <w:pPr>
        <w:rPr>
          <w:sz w:val="24"/>
        </w:rPr>
      </w:pPr>
      <w:r w:rsidRPr="005D10BC">
        <w:rPr>
          <w:sz w:val="24"/>
        </w:rPr>
        <w:t xml:space="preserve">　　一、甲氧氯普胺引起的锥体外系反应</w:t>
      </w:r>
    </w:p>
    <w:p w:rsidR="005D10BC" w:rsidRPr="005D10BC" w:rsidRDefault="005D10BC" w:rsidP="005D10BC">
      <w:pPr>
        <w:rPr>
          <w:sz w:val="24"/>
        </w:rPr>
      </w:pPr>
      <w:r w:rsidRPr="005D10BC">
        <w:rPr>
          <w:sz w:val="24"/>
        </w:rPr>
        <w:t xml:space="preserve">　　（一）锥体外系反应是甲氧氯普胺常见的不良反应，常见的症状包括局部僵硬、肌肉不随意收缩、抽搐、震颤等，大多数不良反应在用药</w:t>
      </w:r>
      <w:r w:rsidRPr="005D10BC">
        <w:rPr>
          <w:sz w:val="24"/>
        </w:rPr>
        <w:t>1</w:t>
      </w:r>
      <w:r w:rsidRPr="005D10BC">
        <w:rPr>
          <w:sz w:val="24"/>
        </w:rPr>
        <w:t>天内出现，大剂量用药、静脉给药速度过快、长期用药等均易诱发锥体外系反应。</w:t>
      </w:r>
    </w:p>
    <w:p w:rsidR="005D10BC" w:rsidRPr="005D10BC" w:rsidRDefault="005D10BC" w:rsidP="005D10BC">
      <w:pPr>
        <w:rPr>
          <w:sz w:val="24"/>
        </w:rPr>
      </w:pPr>
      <w:r w:rsidRPr="005D10BC">
        <w:rPr>
          <w:sz w:val="24"/>
        </w:rPr>
        <w:t xml:space="preserve">　　（二）迟发性运动障碍又称迟发型多动症，是一种不可逆的锥体外系反应，长期使用甲氧氯普胺的患者可能出现迟发性运动障碍。该不良反应的发生率较低，多见于长期（</w:t>
      </w:r>
      <w:r w:rsidRPr="005D10BC">
        <w:rPr>
          <w:sz w:val="24"/>
        </w:rPr>
        <w:t>1</w:t>
      </w:r>
      <w:r w:rsidRPr="005D10BC">
        <w:rPr>
          <w:sz w:val="24"/>
        </w:rPr>
        <w:t>年以上）接受多巴胺受体拮抗剂治疗的患者，在减量或停服后最容易发生。迟发性运动障碍主要表现为某一肌群的不自主的节律性重复运动，包括口</w:t>
      </w:r>
      <w:r w:rsidRPr="005D10BC">
        <w:rPr>
          <w:sz w:val="24"/>
        </w:rPr>
        <w:t>-</w:t>
      </w:r>
      <w:r w:rsidRPr="005D10BC">
        <w:rPr>
          <w:sz w:val="24"/>
        </w:rPr>
        <w:t>舌</w:t>
      </w:r>
      <w:r w:rsidRPr="005D10BC">
        <w:rPr>
          <w:sz w:val="24"/>
        </w:rPr>
        <w:t>-</w:t>
      </w:r>
      <w:r w:rsidRPr="005D10BC">
        <w:rPr>
          <w:sz w:val="24"/>
        </w:rPr>
        <w:t>颊三联症；肢体不自主的重复运动或抽动；以及躯干肌运动不协调等。国外药品监督管理部门近年对甲氧氯普胺可能引起迟发性运动障碍反复进行警示，国家药品不良反应监测据库及文献中疑似病例非常少，未见到典型案例，但鉴于此不良反应不可逆，且对患者生活质量造成影响，需引起重视。</w:t>
      </w:r>
    </w:p>
    <w:p w:rsidR="005D10BC" w:rsidRPr="005D10BC" w:rsidRDefault="005D10BC" w:rsidP="005D10BC">
      <w:pPr>
        <w:rPr>
          <w:sz w:val="24"/>
        </w:rPr>
      </w:pPr>
      <w:r w:rsidRPr="005D10BC">
        <w:rPr>
          <w:sz w:val="24"/>
        </w:rPr>
        <w:t xml:space="preserve">　　（三）国家药品不良反应监测数据库及文献报道中，儿童使用甲氧氯普胺后出现神经系统不良反应（如锥体外系反应）的构成比显著高于成年人。</w:t>
      </w:r>
    </w:p>
    <w:p w:rsidR="005D10BC" w:rsidRPr="005D10BC" w:rsidRDefault="005D10BC" w:rsidP="005D10BC">
      <w:pPr>
        <w:rPr>
          <w:sz w:val="24"/>
        </w:rPr>
      </w:pPr>
      <w:r w:rsidRPr="005D10BC">
        <w:rPr>
          <w:sz w:val="24"/>
        </w:rPr>
        <w:t xml:space="preserve">　　典型病例：患儿</w:t>
      </w:r>
      <w:r w:rsidRPr="005D10BC">
        <w:rPr>
          <w:sz w:val="24"/>
        </w:rPr>
        <w:t>,</w:t>
      </w:r>
      <w:r w:rsidRPr="005D10BC">
        <w:rPr>
          <w:sz w:val="24"/>
        </w:rPr>
        <w:t>女，</w:t>
      </w:r>
      <w:r w:rsidRPr="005D10BC">
        <w:rPr>
          <w:sz w:val="24"/>
        </w:rPr>
        <w:t>10</w:t>
      </w:r>
      <w:r w:rsidRPr="005D10BC">
        <w:rPr>
          <w:sz w:val="24"/>
        </w:rPr>
        <w:t>岁，因呕吐</w:t>
      </w:r>
      <w:r w:rsidRPr="005D10BC">
        <w:rPr>
          <w:sz w:val="24"/>
        </w:rPr>
        <w:t>4</w:t>
      </w:r>
      <w:r w:rsidRPr="005D10BC">
        <w:rPr>
          <w:sz w:val="24"/>
        </w:rPr>
        <w:t>次入院就诊，医生检查后，给予甲氧氯普胺注射液</w:t>
      </w:r>
      <w:r w:rsidRPr="005D10BC">
        <w:rPr>
          <w:sz w:val="24"/>
        </w:rPr>
        <w:t xml:space="preserve"> 10mg</w:t>
      </w:r>
      <w:r w:rsidRPr="005D10BC">
        <w:rPr>
          <w:sz w:val="24"/>
        </w:rPr>
        <w:t>肌注，同时给予甲氧氯普胺片</w:t>
      </w:r>
      <w:r w:rsidRPr="005D10BC">
        <w:rPr>
          <w:sz w:val="24"/>
        </w:rPr>
        <w:t xml:space="preserve">5mg </w:t>
      </w:r>
      <w:r w:rsidRPr="005D10BC">
        <w:rPr>
          <w:sz w:val="24"/>
        </w:rPr>
        <w:t>口服，</w:t>
      </w:r>
      <w:r w:rsidRPr="005D10BC">
        <w:rPr>
          <w:sz w:val="24"/>
        </w:rPr>
        <w:t>3</w:t>
      </w:r>
      <w:r w:rsidRPr="005D10BC">
        <w:rPr>
          <w:sz w:val="24"/>
        </w:rPr>
        <w:t>次</w:t>
      </w:r>
      <w:r w:rsidRPr="005D10BC">
        <w:rPr>
          <w:sz w:val="24"/>
        </w:rPr>
        <w:t>/</w:t>
      </w:r>
      <w:r w:rsidRPr="005D10BC">
        <w:rPr>
          <w:sz w:val="24"/>
        </w:rPr>
        <w:t>日，夜晚患者出现嘴角抽搐、双眼频眨、双手抖动症状，复来医院就诊，医生检查：咽稍红，</w:t>
      </w:r>
      <w:r w:rsidRPr="005D10BC">
        <w:rPr>
          <w:sz w:val="24"/>
        </w:rPr>
        <w:lastRenderedPageBreak/>
        <w:t>双侧扁桃体</w:t>
      </w:r>
      <w:r w:rsidRPr="005D10BC">
        <w:rPr>
          <w:sz w:val="24"/>
        </w:rPr>
        <w:t>II</w:t>
      </w:r>
      <w:r w:rsidRPr="005D10BC">
        <w:rPr>
          <w:sz w:val="24"/>
        </w:rPr>
        <w:t>度肿大，无渗出，心肺正常，生理反射存在。医生怀疑为胃复安过量所致副反应，医嘱立即停药，留察，给予安定</w:t>
      </w:r>
      <w:r w:rsidRPr="005D10BC">
        <w:rPr>
          <w:sz w:val="24"/>
        </w:rPr>
        <w:t>5mg</w:t>
      </w:r>
      <w:r w:rsidRPr="005D10BC">
        <w:rPr>
          <w:sz w:val="24"/>
        </w:rPr>
        <w:t>肌注，补液，呋塞米处理。</w:t>
      </w:r>
      <w:r w:rsidRPr="005D10BC">
        <w:rPr>
          <w:sz w:val="24"/>
        </w:rPr>
        <w:t>1</w:t>
      </w:r>
      <w:r w:rsidRPr="005D10BC">
        <w:rPr>
          <w:sz w:val="24"/>
        </w:rPr>
        <w:t>小时后症状明显减轻。</w:t>
      </w:r>
      <w:r w:rsidRPr="005D10BC">
        <w:rPr>
          <w:sz w:val="24"/>
        </w:rPr>
        <w:t>6</w:t>
      </w:r>
      <w:r w:rsidRPr="005D10BC">
        <w:rPr>
          <w:sz w:val="24"/>
        </w:rPr>
        <w:t>小时后，症状消失。</w:t>
      </w:r>
    </w:p>
    <w:p w:rsidR="005D10BC" w:rsidRPr="005D10BC" w:rsidRDefault="005D10BC" w:rsidP="005D10BC">
      <w:pPr>
        <w:rPr>
          <w:sz w:val="24"/>
        </w:rPr>
      </w:pPr>
      <w:r w:rsidRPr="005D10BC">
        <w:rPr>
          <w:sz w:val="24"/>
        </w:rPr>
        <w:t xml:space="preserve">　　二、建议</w:t>
      </w:r>
    </w:p>
    <w:p w:rsidR="005D10BC" w:rsidRPr="005D10BC" w:rsidRDefault="005D10BC" w:rsidP="005D10BC">
      <w:pPr>
        <w:rPr>
          <w:sz w:val="24"/>
        </w:rPr>
      </w:pPr>
      <w:r w:rsidRPr="005D10BC">
        <w:rPr>
          <w:sz w:val="24"/>
        </w:rPr>
        <w:t xml:space="preserve">　　（一）医务人员应及时告知患者可能出现的不良反应，密切观察用药后的临床表现，如出现局部僵硬、肌肉不随意收缩、抽搐、震颤等症状时，应及时就医。</w:t>
      </w:r>
    </w:p>
    <w:p w:rsidR="005D10BC" w:rsidRPr="005D10BC" w:rsidRDefault="005D10BC" w:rsidP="005D10BC">
      <w:pPr>
        <w:rPr>
          <w:sz w:val="24"/>
        </w:rPr>
      </w:pPr>
      <w:r w:rsidRPr="005D10BC">
        <w:rPr>
          <w:sz w:val="24"/>
        </w:rPr>
        <w:t xml:space="preserve">　　（二）儿童及老年人中应谨慎使用甲氧氯普胺，并密切监测锥体外系反应。处方中应注意用药剂量，连续用药时间不宜过长。</w:t>
      </w:r>
    </w:p>
    <w:p w:rsidR="005D10BC" w:rsidRPr="005D10BC" w:rsidRDefault="005D10BC" w:rsidP="005D10BC">
      <w:pPr>
        <w:rPr>
          <w:sz w:val="24"/>
        </w:rPr>
      </w:pPr>
      <w:r w:rsidRPr="005D10BC">
        <w:rPr>
          <w:sz w:val="24"/>
        </w:rPr>
        <w:t xml:space="preserve">　　（三）药品生产企业应当加强药品不良反应监测，及时更新相关的用药风险信息如不良反应、注意事项等，以有效的方式将甲氧氯普胺的风险告知医务人员和患者，加大合理用药宣传，最大程度保障患者的用药安全。</w:t>
      </w:r>
    </w:p>
    <w:p w:rsidR="00596C91" w:rsidRPr="005D10BC" w:rsidRDefault="00596C91" w:rsidP="00BB23BE">
      <w:pPr>
        <w:tabs>
          <w:tab w:val="left" w:pos="8960"/>
        </w:tabs>
        <w:spacing w:line="620" w:lineRule="exact"/>
        <w:rPr>
          <w:rFonts w:ascii="宋体" w:eastAsia="宋体" w:hAnsi="宋体" w:cs="宋体"/>
          <w:sz w:val="28"/>
          <w:szCs w:val="28"/>
        </w:rPr>
        <w:sectPr w:rsidR="00596C91" w:rsidRPr="005D10BC" w:rsidSect="00800C91">
          <w:pgSz w:w="11906" w:h="16838"/>
          <w:pgMar w:top="1440" w:right="1800" w:bottom="1440" w:left="1800" w:header="851" w:footer="992" w:gutter="0"/>
          <w:cols w:space="425"/>
          <w:docGrid w:type="lines" w:linePitch="312"/>
        </w:sectPr>
      </w:pPr>
    </w:p>
    <w:p w:rsidR="00596C91" w:rsidRDefault="00596C91" w:rsidP="00596C91">
      <w:pPr>
        <w:spacing w:line="620" w:lineRule="exact"/>
        <w:rPr>
          <w:rFonts w:ascii="宋体" w:eastAsia="宋体" w:hAnsi="宋体" w:cs="宋体"/>
          <w:sz w:val="28"/>
          <w:szCs w:val="28"/>
        </w:rPr>
      </w:pPr>
      <w:r>
        <w:rPr>
          <w:rFonts w:ascii="Times New Roman" w:hAnsi="Times New Roman" w:hint="eastAsia"/>
          <w:sz w:val="28"/>
          <w:szCs w:val="28"/>
        </w:rPr>
        <w:lastRenderedPageBreak/>
        <w:t>【</w:t>
      </w:r>
      <w:r>
        <w:rPr>
          <w:rFonts w:ascii="宋体" w:eastAsia="宋体" w:hAnsi="宋体" w:cs="宋体" w:hint="eastAsia"/>
          <w:sz w:val="28"/>
          <w:szCs w:val="28"/>
        </w:rPr>
        <w:t>新药信息】</w:t>
      </w:r>
    </w:p>
    <w:p w:rsidR="00596C91" w:rsidRPr="00596C91" w:rsidRDefault="00596C91" w:rsidP="00596C91">
      <w:pPr>
        <w:widowControl/>
        <w:pBdr>
          <w:top w:val="single" w:sz="6" w:space="10" w:color="E3E3E3"/>
        </w:pBdr>
        <w:shd w:val="clear" w:color="auto" w:fill="FFFFFF"/>
        <w:spacing w:line="200" w:lineRule="exact"/>
        <w:jc w:val="left"/>
        <w:rPr>
          <w:rFonts w:ascii="Helvetica" w:eastAsia="宋体" w:hAnsi="Helvetica" w:cs="宋体"/>
          <w:b/>
          <w:bCs/>
          <w:color w:val="545454"/>
          <w:kern w:val="0"/>
          <w:sz w:val="21"/>
          <w:szCs w:val="21"/>
        </w:rPr>
      </w:pPr>
      <w:r w:rsidRPr="00596C91">
        <w:rPr>
          <w:rFonts w:ascii="Helvetica" w:eastAsia="宋体" w:hAnsi="Helvetica" w:cs="宋体"/>
          <w:b/>
          <w:bCs/>
          <w:color w:val="545454"/>
          <w:kern w:val="0"/>
          <w:sz w:val="21"/>
        </w:rPr>
        <w:t>药品名称</w:t>
      </w:r>
      <w:r w:rsidRPr="00596C91">
        <w:rPr>
          <w:rFonts w:ascii="Helvetica" w:eastAsia="宋体" w:hAnsi="Helvetica" w:cs="宋体"/>
          <w:b/>
          <w:bCs/>
          <w:color w:val="545454"/>
          <w:kern w:val="0"/>
          <w:sz w:val="21"/>
        </w:rPr>
        <w:t>:</w:t>
      </w:r>
    </w:p>
    <w:p w:rsidR="00596C91" w:rsidRPr="00596C91" w:rsidRDefault="00596C91" w:rsidP="00596C91">
      <w:pPr>
        <w:widowControl/>
        <w:shd w:val="clear" w:color="auto" w:fill="FFFFFF"/>
        <w:spacing w:line="200" w:lineRule="exact"/>
        <w:ind w:left="720"/>
        <w:jc w:val="left"/>
        <w:rPr>
          <w:rFonts w:ascii="Helvetica" w:eastAsia="宋体" w:hAnsi="Helvetica" w:cs="宋体"/>
          <w:color w:val="5F5F5F"/>
          <w:kern w:val="0"/>
          <w:sz w:val="20"/>
          <w:szCs w:val="20"/>
        </w:rPr>
      </w:pPr>
      <w:r w:rsidRPr="00596C91">
        <w:rPr>
          <w:rFonts w:ascii="Helvetica" w:eastAsia="宋体" w:hAnsi="Helvetica" w:cs="宋体"/>
          <w:color w:val="5F5F5F"/>
          <w:kern w:val="0"/>
          <w:sz w:val="20"/>
          <w:szCs w:val="20"/>
        </w:rPr>
        <w:t>通用名称：磷酸西格列汀片</w:t>
      </w:r>
      <w:r w:rsidRPr="00596C91">
        <w:rPr>
          <w:rFonts w:ascii="Helvetica" w:eastAsia="宋体" w:hAnsi="Helvetica" w:cs="宋体"/>
          <w:color w:val="5F5F5F"/>
          <w:kern w:val="0"/>
          <w:sz w:val="20"/>
          <w:szCs w:val="20"/>
        </w:rPr>
        <w:br/>
      </w:r>
      <w:r w:rsidRPr="00596C91">
        <w:rPr>
          <w:rFonts w:ascii="Helvetica" w:eastAsia="宋体" w:hAnsi="Helvetica" w:cs="宋体"/>
          <w:color w:val="5F5F5F"/>
          <w:kern w:val="0"/>
          <w:sz w:val="20"/>
          <w:szCs w:val="20"/>
        </w:rPr>
        <w:t>英文名称：</w:t>
      </w:r>
      <w:r w:rsidRPr="00596C91">
        <w:rPr>
          <w:rFonts w:ascii="Helvetica" w:eastAsia="宋体" w:hAnsi="Helvetica" w:cs="宋体"/>
          <w:color w:val="5F5F5F"/>
          <w:kern w:val="0"/>
          <w:sz w:val="20"/>
          <w:szCs w:val="20"/>
        </w:rPr>
        <w:t>Sitagliptin Phosphate Tablets</w:t>
      </w:r>
      <w:r w:rsidRPr="00596C91">
        <w:rPr>
          <w:rFonts w:ascii="Helvetica" w:eastAsia="宋体" w:hAnsi="Helvetica" w:cs="宋体"/>
          <w:color w:val="5F5F5F"/>
          <w:kern w:val="0"/>
          <w:sz w:val="20"/>
          <w:szCs w:val="20"/>
        </w:rPr>
        <w:br/>
      </w:r>
      <w:r w:rsidRPr="00596C91">
        <w:rPr>
          <w:rFonts w:ascii="Helvetica" w:eastAsia="宋体" w:hAnsi="Helvetica" w:cs="宋体"/>
          <w:color w:val="5F5F5F"/>
          <w:kern w:val="0"/>
          <w:sz w:val="20"/>
          <w:szCs w:val="20"/>
        </w:rPr>
        <w:t>商品名称：捷诺维</w:t>
      </w:r>
    </w:p>
    <w:p w:rsidR="00596C91" w:rsidRPr="00596C91" w:rsidRDefault="00596C91" w:rsidP="00596C91">
      <w:pPr>
        <w:widowControl/>
        <w:pBdr>
          <w:top w:val="single" w:sz="6" w:space="10" w:color="E3E3E3"/>
        </w:pBdr>
        <w:shd w:val="clear" w:color="auto" w:fill="FFFFFF"/>
        <w:spacing w:line="200" w:lineRule="exact"/>
        <w:jc w:val="left"/>
        <w:rPr>
          <w:rFonts w:ascii="Helvetica" w:eastAsia="宋体" w:hAnsi="Helvetica" w:cs="宋体"/>
          <w:b/>
          <w:bCs/>
          <w:color w:val="545454"/>
          <w:kern w:val="0"/>
          <w:sz w:val="21"/>
          <w:szCs w:val="21"/>
        </w:rPr>
      </w:pPr>
      <w:r w:rsidRPr="00596C91">
        <w:rPr>
          <w:rFonts w:ascii="Helvetica" w:eastAsia="宋体" w:hAnsi="Helvetica" w:cs="宋体"/>
          <w:b/>
          <w:bCs/>
          <w:color w:val="545454"/>
          <w:kern w:val="0"/>
          <w:sz w:val="21"/>
        </w:rPr>
        <w:t>成份</w:t>
      </w:r>
      <w:r w:rsidRPr="00596C91">
        <w:rPr>
          <w:rFonts w:ascii="Helvetica" w:eastAsia="宋体" w:hAnsi="Helvetica" w:cs="宋体"/>
          <w:b/>
          <w:bCs/>
          <w:color w:val="545454"/>
          <w:kern w:val="0"/>
          <w:sz w:val="21"/>
        </w:rPr>
        <w:t>:</w:t>
      </w:r>
    </w:p>
    <w:p w:rsidR="00596C91" w:rsidRPr="00596C91" w:rsidRDefault="00596C91" w:rsidP="00596C91">
      <w:pPr>
        <w:widowControl/>
        <w:shd w:val="clear" w:color="auto" w:fill="FFFFFF"/>
        <w:spacing w:after="375" w:line="200" w:lineRule="exact"/>
        <w:ind w:left="720"/>
        <w:jc w:val="left"/>
        <w:rPr>
          <w:rFonts w:ascii="Helvetica" w:eastAsia="宋体" w:hAnsi="Helvetica" w:cs="宋体"/>
          <w:color w:val="5F5F5F"/>
          <w:kern w:val="0"/>
          <w:sz w:val="20"/>
          <w:szCs w:val="20"/>
        </w:rPr>
      </w:pPr>
      <w:r w:rsidRPr="00596C91">
        <w:rPr>
          <w:rFonts w:ascii="Helvetica" w:eastAsia="宋体" w:hAnsi="Helvetica" w:cs="宋体"/>
          <w:color w:val="5F5F5F"/>
          <w:kern w:val="0"/>
          <w:sz w:val="20"/>
          <w:szCs w:val="20"/>
        </w:rPr>
        <w:t>磷酸西格列汀。</w:t>
      </w:r>
    </w:p>
    <w:p w:rsidR="00596C91" w:rsidRPr="00596C91" w:rsidRDefault="00596C91" w:rsidP="00596C91">
      <w:pPr>
        <w:widowControl/>
        <w:pBdr>
          <w:top w:val="single" w:sz="6" w:space="10" w:color="E3E3E3"/>
        </w:pBdr>
        <w:shd w:val="clear" w:color="auto" w:fill="FFFFFF"/>
        <w:spacing w:line="200" w:lineRule="exact"/>
        <w:jc w:val="left"/>
        <w:rPr>
          <w:rFonts w:ascii="Helvetica" w:eastAsia="宋体" w:hAnsi="Helvetica" w:cs="宋体"/>
          <w:b/>
          <w:bCs/>
          <w:color w:val="545454"/>
          <w:kern w:val="0"/>
          <w:sz w:val="21"/>
          <w:szCs w:val="21"/>
        </w:rPr>
      </w:pPr>
      <w:r w:rsidRPr="00596C91">
        <w:rPr>
          <w:rFonts w:ascii="Helvetica" w:eastAsia="宋体" w:hAnsi="Helvetica" w:cs="宋体"/>
          <w:b/>
          <w:bCs/>
          <w:color w:val="545454"/>
          <w:kern w:val="0"/>
          <w:sz w:val="21"/>
        </w:rPr>
        <w:t>适应症</w:t>
      </w:r>
      <w:r w:rsidRPr="00596C91">
        <w:rPr>
          <w:rFonts w:ascii="Helvetica" w:eastAsia="宋体" w:hAnsi="Helvetica" w:cs="宋体"/>
          <w:b/>
          <w:bCs/>
          <w:color w:val="545454"/>
          <w:kern w:val="0"/>
          <w:sz w:val="21"/>
        </w:rPr>
        <w:t>:</w:t>
      </w:r>
    </w:p>
    <w:p w:rsidR="00596C91" w:rsidRPr="00596C91" w:rsidRDefault="00596C91" w:rsidP="00596C91">
      <w:pPr>
        <w:widowControl/>
        <w:shd w:val="clear" w:color="auto" w:fill="FFFFFF"/>
        <w:spacing w:line="200" w:lineRule="exact"/>
        <w:ind w:left="720"/>
        <w:jc w:val="left"/>
        <w:rPr>
          <w:rFonts w:ascii="Helvetica" w:eastAsia="宋体" w:hAnsi="Helvetica" w:cs="宋体"/>
          <w:color w:val="5F5F5F"/>
          <w:kern w:val="0"/>
          <w:sz w:val="20"/>
          <w:szCs w:val="20"/>
        </w:rPr>
      </w:pPr>
      <w:r w:rsidRPr="00596C91">
        <w:rPr>
          <w:rFonts w:ascii="Helvetica" w:eastAsia="宋体" w:hAnsi="Helvetica" w:cs="宋体"/>
          <w:b/>
          <w:bCs/>
          <w:color w:val="5F5F5F"/>
          <w:kern w:val="0"/>
          <w:sz w:val="20"/>
        </w:rPr>
        <w:t>单药治疗</w:t>
      </w:r>
      <w:r w:rsidRPr="00596C91">
        <w:rPr>
          <w:rFonts w:ascii="Helvetica" w:eastAsia="宋体" w:hAnsi="Helvetica" w:cs="宋体"/>
          <w:color w:val="5F5F5F"/>
          <w:kern w:val="0"/>
          <w:sz w:val="20"/>
          <w:szCs w:val="20"/>
        </w:rPr>
        <w:t> </w:t>
      </w:r>
      <w:r w:rsidRPr="00596C91">
        <w:rPr>
          <w:rFonts w:ascii="Helvetica" w:eastAsia="宋体" w:hAnsi="Helvetica" w:cs="宋体"/>
          <w:color w:val="5F5F5F"/>
          <w:kern w:val="0"/>
          <w:sz w:val="20"/>
          <w:szCs w:val="20"/>
        </w:rPr>
        <w:br/>
      </w:r>
      <w:r w:rsidRPr="00596C91">
        <w:rPr>
          <w:rFonts w:ascii="Helvetica" w:eastAsia="宋体" w:hAnsi="Helvetica" w:cs="宋体"/>
          <w:color w:val="5F5F5F"/>
          <w:kern w:val="0"/>
          <w:sz w:val="20"/>
          <w:szCs w:val="20"/>
        </w:rPr>
        <w:t>本品配合饮食控制和运动，用于改善</w:t>
      </w:r>
      <w:r w:rsidRPr="00596C91">
        <w:rPr>
          <w:rFonts w:ascii="Helvetica" w:eastAsia="宋体" w:hAnsi="Helvetica" w:cs="宋体"/>
          <w:color w:val="5F5F5F"/>
          <w:kern w:val="0"/>
          <w:sz w:val="20"/>
          <w:szCs w:val="20"/>
        </w:rPr>
        <w:t>2</w:t>
      </w:r>
      <w:r w:rsidRPr="00596C91">
        <w:rPr>
          <w:rFonts w:ascii="Helvetica" w:eastAsia="宋体" w:hAnsi="Helvetica" w:cs="宋体"/>
          <w:color w:val="5F5F5F"/>
          <w:kern w:val="0"/>
          <w:sz w:val="20"/>
          <w:szCs w:val="20"/>
        </w:rPr>
        <w:t>型糖尿病患者的血糖控制。</w:t>
      </w:r>
    </w:p>
    <w:p w:rsidR="00596C91" w:rsidRPr="00596C91" w:rsidRDefault="00596C91" w:rsidP="00596C91">
      <w:pPr>
        <w:widowControl/>
        <w:shd w:val="clear" w:color="auto" w:fill="FFFFFF"/>
        <w:spacing w:line="200" w:lineRule="exact"/>
        <w:ind w:left="720"/>
        <w:jc w:val="left"/>
        <w:rPr>
          <w:rFonts w:ascii="Helvetica" w:eastAsia="宋体" w:hAnsi="Helvetica" w:cs="宋体"/>
          <w:color w:val="5F5F5F"/>
          <w:kern w:val="0"/>
          <w:sz w:val="20"/>
          <w:szCs w:val="20"/>
        </w:rPr>
      </w:pPr>
      <w:r w:rsidRPr="00596C91">
        <w:rPr>
          <w:rFonts w:ascii="Helvetica" w:eastAsia="宋体" w:hAnsi="Helvetica" w:cs="宋体"/>
          <w:b/>
          <w:bCs/>
          <w:color w:val="5F5F5F"/>
          <w:kern w:val="0"/>
          <w:sz w:val="20"/>
        </w:rPr>
        <w:t>与二甲双胍联用</w:t>
      </w:r>
      <w:r w:rsidRPr="00596C91">
        <w:rPr>
          <w:rFonts w:ascii="Helvetica" w:eastAsia="宋体" w:hAnsi="Helvetica" w:cs="宋体"/>
          <w:color w:val="5F5F5F"/>
          <w:kern w:val="0"/>
          <w:sz w:val="20"/>
          <w:szCs w:val="20"/>
        </w:rPr>
        <w:t> </w:t>
      </w:r>
      <w:r w:rsidRPr="00596C91">
        <w:rPr>
          <w:rFonts w:ascii="Helvetica" w:eastAsia="宋体" w:hAnsi="Helvetica" w:cs="宋体"/>
          <w:color w:val="5F5F5F"/>
          <w:kern w:val="0"/>
          <w:sz w:val="20"/>
          <w:szCs w:val="20"/>
        </w:rPr>
        <w:br/>
      </w:r>
      <w:r w:rsidRPr="00596C91">
        <w:rPr>
          <w:rFonts w:ascii="Helvetica" w:eastAsia="宋体" w:hAnsi="Helvetica" w:cs="宋体"/>
          <w:color w:val="5F5F5F"/>
          <w:kern w:val="0"/>
          <w:sz w:val="20"/>
          <w:szCs w:val="20"/>
        </w:rPr>
        <w:t>当单独使用盐酸二甲双胍血糖控制不佳时</w:t>
      </w:r>
      <w:r w:rsidRPr="00596C91">
        <w:rPr>
          <w:rFonts w:ascii="Helvetica" w:eastAsia="宋体" w:hAnsi="Helvetica" w:cs="宋体"/>
          <w:color w:val="5F5F5F"/>
          <w:kern w:val="0"/>
          <w:sz w:val="20"/>
          <w:szCs w:val="20"/>
        </w:rPr>
        <w:t>,</w:t>
      </w:r>
      <w:r w:rsidRPr="00596C91">
        <w:rPr>
          <w:rFonts w:ascii="Helvetica" w:eastAsia="宋体" w:hAnsi="Helvetica" w:cs="宋体"/>
          <w:color w:val="5F5F5F"/>
          <w:kern w:val="0"/>
          <w:sz w:val="20"/>
          <w:szCs w:val="20"/>
        </w:rPr>
        <w:t>可与盐酸二甲双胍联合使用，在饮食和运动基础上改善</w:t>
      </w:r>
      <w:r w:rsidRPr="00596C91">
        <w:rPr>
          <w:rFonts w:ascii="Helvetica" w:eastAsia="宋体" w:hAnsi="Helvetica" w:cs="宋体"/>
          <w:color w:val="5F5F5F"/>
          <w:kern w:val="0"/>
          <w:sz w:val="20"/>
          <w:szCs w:val="20"/>
        </w:rPr>
        <w:t>2</w:t>
      </w:r>
      <w:r w:rsidRPr="00596C91">
        <w:rPr>
          <w:rFonts w:ascii="Helvetica" w:eastAsia="宋体" w:hAnsi="Helvetica" w:cs="宋体"/>
          <w:color w:val="5F5F5F"/>
          <w:kern w:val="0"/>
          <w:sz w:val="20"/>
          <w:szCs w:val="20"/>
        </w:rPr>
        <w:t>型糖尿病患者的血糖控制。</w:t>
      </w:r>
    </w:p>
    <w:p w:rsidR="00596C91" w:rsidRPr="00596C91" w:rsidRDefault="00596C91" w:rsidP="00596C91">
      <w:pPr>
        <w:widowControl/>
        <w:shd w:val="clear" w:color="auto" w:fill="FFFFFF"/>
        <w:spacing w:before="120" w:after="120" w:line="200" w:lineRule="exact"/>
        <w:ind w:left="720"/>
        <w:jc w:val="left"/>
        <w:rPr>
          <w:rFonts w:ascii="Helvetica" w:eastAsia="宋体" w:hAnsi="Helvetica" w:cs="宋体"/>
          <w:color w:val="5F5F5F"/>
          <w:kern w:val="0"/>
          <w:sz w:val="20"/>
          <w:szCs w:val="20"/>
        </w:rPr>
      </w:pPr>
      <w:r w:rsidRPr="00596C91">
        <w:rPr>
          <w:rFonts w:ascii="Helvetica" w:eastAsia="宋体" w:hAnsi="Helvetica" w:cs="宋体"/>
          <w:color w:val="5F5F5F"/>
          <w:kern w:val="0"/>
          <w:sz w:val="20"/>
          <w:szCs w:val="20"/>
        </w:rPr>
        <w:t>与胰岛素联用</w:t>
      </w:r>
    </w:p>
    <w:p w:rsidR="00596C91" w:rsidRPr="00596C91" w:rsidRDefault="00596C91" w:rsidP="00596C91">
      <w:pPr>
        <w:widowControl/>
        <w:shd w:val="clear" w:color="auto" w:fill="FFFFFF"/>
        <w:spacing w:before="120" w:after="120" w:line="200" w:lineRule="exact"/>
        <w:ind w:left="720"/>
        <w:jc w:val="left"/>
        <w:rPr>
          <w:rFonts w:ascii="Helvetica" w:eastAsia="宋体" w:hAnsi="Helvetica" w:cs="宋体"/>
          <w:color w:val="5F5F5F"/>
          <w:kern w:val="0"/>
          <w:sz w:val="20"/>
          <w:szCs w:val="20"/>
        </w:rPr>
      </w:pPr>
      <w:r w:rsidRPr="00596C91">
        <w:rPr>
          <w:rFonts w:ascii="Helvetica" w:eastAsia="宋体" w:hAnsi="Helvetica" w:cs="宋体"/>
          <w:color w:val="5F5F5F"/>
          <w:kern w:val="0"/>
          <w:sz w:val="20"/>
          <w:szCs w:val="20"/>
        </w:rPr>
        <w:t>本品配合饮食控制和运动，用于改善经一种磺脲类药物单药治疗或经一种磺脲类药物联合二甲双胍治疗后血糖控制不佳的</w:t>
      </w:r>
      <w:r w:rsidRPr="00596C91">
        <w:rPr>
          <w:rFonts w:ascii="Helvetica" w:eastAsia="宋体" w:hAnsi="Helvetica" w:cs="宋体"/>
          <w:color w:val="5F5F5F"/>
          <w:kern w:val="0"/>
          <w:sz w:val="20"/>
          <w:szCs w:val="20"/>
        </w:rPr>
        <w:t>2</w:t>
      </w:r>
      <w:r w:rsidRPr="00596C91">
        <w:rPr>
          <w:rFonts w:ascii="Helvetica" w:eastAsia="宋体" w:hAnsi="Helvetica" w:cs="宋体"/>
          <w:color w:val="5F5F5F"/>
          <w:kern w:val="0"/>
          <w:sz w:val="20"/>
          <w:szCs w:val="20"/>
        </w:rPr>
        <w:t>型糖尿病患者的血糖控制。</w:t>
      </w:r>
    </w:p>
    <w:p w:rsidR="00596C91" w:rsidRPr="00596C91" w:rsidRDefault="00596C91" w:rsidP="00596C91">
      <w:pPr>
        <w:widowControl/>
        <w:pBdr>
          <w:top w:val="single" w:sz="6" w:space="10" w:color="E3E3E3"/>
        </w:pBdr>
        <w:shd w:val="clear" w:color="auto" w:fill="FFFFFF"/>
        <w:spacing w:line="200" w:lineRule="exact"/>
        <w:jc w:val="left"/>
        <w:rPr>
          <w:rFonts w:ascii="Helvetica" w:eastAsia="宋体" w:hAnsi="Helvetica" w:cs="宋体"/>
          <w:b/>
          <w:bCs/>
          <w:color w:val="545454"/>
          <w:kern w:val="0"/>
          <w:sz w:val="21"/>
          <w:szCs w:val="21"/>
        </w:rPr>
      </w:pPr>
      <w:r w:rsidRPr="00596C91">
        <w:rPr>
          <w:rFonts w:ascii="Helvetica" w:eastAsia="宋体" w:hAnsi="Helvetica" w:cs="宋体"/>
          <w:b/>
          <w:bCs/>
          <w:color w:val="545454"/>
          <w:kern w:val="0"/>
          <w:sz w:val="21"/>
        </w:rPr>
        <w:t>超说明书适应症</w:t>
      </w:r>
      <w:r w:rsidRPr="00596C91">
        <w:rPr>
          <w:rFonts w:ascii="Helvetica" w:eastAsia="宋体" w:hAnsi="Helvetica" w:cs="宋体"/>
          <w:b/>
          <w:bCs/>
          <w:color w:val="545454"/>
          <w:kern w:val="0"/>
          <w:sz w:val="21"/>
        </w:rPr>
        <w:t>:</w:t>
      </w:r>
    </w:p>
    <w:p w:rsidR="00596C91" w:rsidRPr="00596C91" w:rsidRDefault="00596C91" w:rsidP="00596C91">
      <w:pPr>
        <w:widowControl/>
        <w:shd w:val="clear" w:color="auto" w:fill="FFFFFF"/>
        <w:spacing w:after="375" w:line="200" w:lineRule="exact"/>
        <w:ind w:left="720"/>
        <w:jc w:val="left"/>
        <w:rPr>
          <w:rFonts w:ascii="Helvetica" w:eastAsia="宋体" w:hAnsi="Helvetica" w:cs="宋体"/>
          <w:color w:val="5F5F5F"/>
          <w:kern w:val="0"/>
          <w:sz w:val="20"/>
          <w:szCs w:val="20"/>
        </w:rPr>
      </w:pPr>
      <w:r w:rsidRPr="00596C91">
        <w:rPr>
          <w:rFonts w:ascii="Helvetica" w:eastAsia="宋体" w:hAnsi="Helvetica" w:cs="宋体"/>
          <w:color w:val="5F5F5F"/>
          <w:kern w:val="0"/>
          <w:sz w:val="20"/>
          <w:szCs w:val="20"/>
        </w:rPr>
        <w:t>2</w:t>
      </w:r>
      <w:r w:rsidRPr="00596C91">
        <w:rPr>
          <w:rFonts w:ascii="Helvetica" w:eastAsia="宋体" w:hAnsi="Helvetica" w:cs="宋体"/>
          <w:color w:val="5F5F5F"/>
          <w:kern w:val="0"/>
          <w:sz w:val="20"/>
          <w:szCs w:val="20"/>
        </w:rPr>
        <w:t>型糖尿病的治疗联合用药：</w:t>
      </w:r>
      <w:r w:rsidRPr="00596C91">
        <w:rPr>
          <w:rFonts w:ascii="Helvetica" w:eastAsia="宋体" w:hAnsi="Helvetica" w:cs="宋体"/>
          <w:color w:val="5F5F5F"/>
          <w:kern w:val="0"/>
          <w:sz w:val="20"/>
          <w:szCs w:val="20"/>
        </w:rPr>
        <w:t>100mg qd</w:t>
      </w:r>
      <w:r w:rsidRPr="00596C91">
        <w:rPr>
          <w:rFonts w:ascii="Helvetica" w:eastAsia="宋体" w:hAnsi="Helvetica" w:cs="宋体"/>
          <w:color w:val="5F5F5F"/>
          <w:kern w:val="0"/>
          <w:sz w:val="20"/>
          <w:szCs w:val="20"/>
        </w:rPr>
        <w:t>。</w:t>
      </w:r>
    </w:p>
    <w:p w:rsidR="00596C91" w:rsidRPr="00596C91" w:rsidRDefault="00596C91" w:rsidP="00596C91">
      <w:pPr>
        <w:widowControl/>
        <w:pBdr>
          <w:top w:val="single" w:sz="6" w:space="10" w:color="E3E3E3"/>
        </w:pBdr>
        <w:shd w:val="clear" w:color="auto" w:fill="FFFFFF"/>
        <w:spacing w:line="200" w:lineRule="exact"/>
        <w:jc w:val="left"/>
        <w:rPr>
          <w:rFonts w:ascii="Helvetica" w:eastAsia="宋体" w:hAnsi="Helvetica" w:cs="宋体"/>
          <w:b/>
          <w:bCs/>
          <w:color w:val="545454"/>
          <w:kern w:val="0"/>
          <w:sz w:val="21"/>
          <w:szCs w:val="21"/>
        </w:rPr>
      </w:pPr>
      <w:r w:rsidRPr="00596C91">
        <w:rPr>
          <w:rFonts w:ascii="Helvetica" w:eastAsia="宋体" w:hAnsi="Helvetica" w:cs="宋体"/>
          <w:b/>
          <w:bCs/>
          <w:color w:val="545454"/>
          <w:kern w:val="0"/>
          <w:sz w:val="21"/>
        </w:rPr>
        <w:t>用法用量</w:t>
      </w:r>
      <w:r w:rsidRPr="00596C91">
        <w:rPr>
          <w:rFonts w:ascii="Helvetica" w:eastAsia="宋体" w:hAnsi="Helvetica" w:cs="宋体"/>
          <w:b/>
          <w:bCs/>
          <w:color w:val="545454"/>
          <w:kern w:val="0"/>
          <w:sz w:val="21"/>
        </w:rPr>
        <w:t>:</w:t>
      </w:r>
    </w:p>
    <w:p w:rsidR="00596C91" w:rsidRPr="00596C91" w:rsidRDefault="00596C91" w:rsidP="00596C91">
      <w:pPr>
        <w:widowControl/>
        <w:shd w:val="clear" w:color="auto" w:fill="FFFFFF"/>
        <w:spacing w:before="120" w:after="120" w:line="200" w:lineRule="exact"/>
        <w:ind w:left="720"/>
        <w:jc w:val="left"/>
        <w:rPr>
          <w:rFonts w:ascii="Helvetica" w:eastAsia="宋体" w:hAnsi="Helvetica" w:cs="宋体"/>
          <w:color w:val="5F5F5F"/>
          <w:kern w:val="0"/>
          <w:sz w:val="20"/>
          <w:szCs w:val="20"/>
        </w:rPr>
      </w:pPr>
      <w:r w:rsidRPr="00596C91">
        <w:rPr>
          <w:rFonts w:ascii="Helvetica" w:eastAsia="宋体" w:hAnsi="Helvetica" w:cs="宋体"/>
          <w:color w:val="5F5F5F"/>
          <w:kern w:val="0"/>
          <w:sz w:val="20"/>
          <w:szCs w:val="20"/>
        </w:rPr>
        <w:t>本品单药治疗的推荐剂量为</w:t>
      </w:r>
      <w:r w:rsidRPr="00596C91">
        <w:rPr>
          <w:rFonts w:ascii="Helvetica" w:eastAsia="宋体" w:hAnsi="Helvetica" w:cs="宋体"/>
          <w:color w:val="5F5F5F"/>
          <w:kern w:val="0"/>
          <w:sz w:val="20"/>
          <w:szCs w:val="20"/>
        </w:rPr>
        <w:t>100mg</w:t>
      </w:r>
      <w:r w:rsidRPr="00596C91">
        <w:rPr>
          <w:rFonts w:ascii="Helvetica" w:eastAsia="宋体" w:hAnsi="Helvetica" w:cs="宋体"/>
          <w:color w:val="5F5F5F"/>
          <w:kern w:val="0"/>
          <w:sz w:val="20"/>
          <w:szCs w:val="20"/>
        </w:rPr>
        <w:t>每日一次。本品可与或不与食物同服。</w:t>
      </w:r>
    </w:p>
    <w:p w:rsidR="00596C91" w:rsidRPr="00596C91" w:rsidRDefault="00596C91" w:rsidP="00596C91">
      <w:pPr>
        <w:widowControl/>
        <w:shd w:val="clear" w:color="auto" w:fill="FFFFFF"/>
        <w:spacing w:line="200" w:lineRule="exact"/>
        <w:ind w:left="720"/>
        <w:jc w:val="left"/>
        <w:rPr>
          <w:rFonts w:ascii="Helvetica" w:eastAsia="宋体" w:hAnsi="Helvetica" w:cs="宋体"/>
          <w:color w:val="5F5F5F"/>
          <w:kern w:val="0"/>
          <w:sz w:val="20"/>
          <w:szCs w:val="20"/>
        </w:rPr>
      </w:pPr>
      <w:r w:rsidRPr="00596C91">
        <w:rPr>
          <w:rFonts w:ascii="Helvetica" w:eastAsia="宋体" w:hAnsi="Helvetica" w:cs="宋体"/>
          <w:b/>
          <w:bCs/>
          <w:color w:val="5F5F5F"/>
          <w:kern w:val="0"/>
          <w:sz w:val="20"/>
        </w:rPr>
        <w:t>肾功能不全的患者</w:t>
      </w:r>
    </w:p>
    <w:p w:rsidR="00596C91" w:rsidRPr="00596C91" w:rsidRDefault="00596C91" w:rsidP="00596C91">
      <w:pPr>
        <w:widowControl/>
        <w:shd w:val="clear" w:color="auto" w:fill="FFFFFF"/>
        <w:spacing w:before="120" w:after="120" w:line="200" w:lineRule="exact"/>
        <w:ind w:left="720"/>
        <w:jc w:val="left"/>
        <w:rPr>
          <w:rFonts w:ascii="Helvetica" w:eastAsia="宋体" w:hAnsi="Helvetica" w:cs="宋体"/>
          <w:color w:val="5F5F5F"/>
          <w:kern w:val="0"/>
          <w:sz w:val="20"/>
          <w:szCs w:val="20"/>
        </w:rPr>
      </w:pPr>
      <w:r w:rsidRPr="00596C91">
        <w:rPr>
          <w:rFonts w:ascii="Helvetica" w:eastAsia="宋体" w:hAnsi="Helvetica" w:cs="宋体"/>
          <w:color w:val="5F5F5F"/>
          <w:kern w:val="0"/>
          <w:sz w:val="20"/>
          <w:szCs w:val="20"/>
        </w:rPr>
        <w:t>轻度肾功能不全患者（肌酐清除率</w:t>
      </w:r>
      <w:r w:rsidRPr="00596C91">
        <w:rPr>
          <w:rFonts w:ascii="Helvetica" w:eastAsia="宋体" w:hAnsi="Helvetica" w:cs="宋体"/>
          <w:color w:val="5F5F5F"/>
          <w:kern w:val="0"/>
          <w:sz w:val="20"/>
          <w:szCs w:val="20"/>
        </w:rPr>
        <w:t>[CrCl]≥50 mL/min</w:t>
      </w:r>
      <w:r w:rsidRPr="00596C91">
        <w:rPr>
          <w:rFonts w:ascii="Helvetica" w:eastAsia="宋体" w:hAnsi="Helvetica" w:cs="宋体"/>
          <w:color w:val="5F5F5F"/>
          <w:kern w:val="0"/>
          <w:sz w:val="20"/>
          <w:szCs w:val="20"/>
        </w:rPr>
        <w:t>，相应的血清肌酐水平大约为男性</w:t>
      </w:r>
      <w:r w:rsidRPr="00596C91">
        <w:rPr>
          <w:rFonts w:ascii="Helvetica" w:eastAsia="宋体" w:hAnsi="Helvetica" w:cs="宋体"/>
          <w:color w:val="5F5F5F"/>
          <w:kern w:val="0"/>
          <w:sz w:val="20"/>
          <w:szCs w:val="20"/>
        </w:rPr>
        <w:t>≤1.7 mg/dL</w:t>
      </w:r>
      <w:r w:rsidRPr="00596C91">
        <w:rPr>
          <w:rFonts w:ascii="Helvetica" w:eastAsia="宋体" w:hAnsi="Helvetica" w:cs="宋体"/>
          <w:color w:val="5F5F5F"/>
          <w:kern w:val="0"/>
          <w:sz w:val="20"/>
          <w:szCs w:val="20"/>
        </w:rPr>
        <w:t>和女性</w:t>
      </w:r>
      <w:r w:rsidRPr="00596C91">
        <w:rPr>
          <w:rFonts w:ascii="Helvetica" w:eastAsia="宋体" w:hAnsi="Helvetica" w:cs="宋体"/>
          <w:color w:val="5F5F5F"/>
          <w:kern w:val="0"/>
          <w:sz w:val="20"/>
          <w:szCs w:val="20"/>
        </w:rPr>
        <w:t>≤1.5 mg/dL</w:t>
      </w:r>
      <w:r w:rsidRPr="00596C91">
        <w:rPr>
          <w:rFonts w:ascii="Helvetica" w:eastAsia="宋体" w:hAnsi="Helvetica" w:cs="宋体"/>
          <w:color w:val="5F5F5F"/>
          <w:kern w:val="0"/>
          <w:sz w:val="20"/>
          <w:szCs w:val="20"/>
        </w:rPr>
        <w:t>）服用本品时，不需要调整剂量。</w:t>
      </w:r>
    </w:p>
    <w:p w:rsidR="00596C91" w:rsidRPr="00596C91" w:rsidRDefault="00596C91" w:rsidP="00596C91">
      <w:pPr>
        <w:widowControl/>
        <w:shd w:val="clear" w:color="auto" w:fill="FFFFFF"/>
        <w:spacing w:before="120" w:after="120" w:line="200" w:lineRule="exact"/>
        <w:ind w:left="720"/>
        <w:jc w:val="left"/>
        <w:rPr>
          <w:rFonts w:ascii="Helvetica" w:eastAsia="宋体" w:hAnsi="Helvetica" w:cs="宋体"/>
          <w:color w:val="5F5F5F"/>
          <w:kern w:val="0"/>
          <w:sz w:val="20"/>
          <w:szCs w:val="20"/>
        </w:rPr>
      </w:pPr>
      <w:r w:rsidRPr="00596C91">
        <w:rPr>
          <w:rFonts w:ascii="Helvetica" w:eastAsia="宋体" w:hAnsi="Helvetica" w:cs="宋体"/>
          <w:color w:val="5F5F5F"/>
          <w:kern w:val="0"/>
          <w:sz w:val="20"/>
          <w:szCs w:val="20"/>
        </w:rPr>
        <w:t>中度肾功能不全的患者</w:t>
      </w:r>
      <w:r w:rsidRPr="00596C91">
        <w:rPr>
          <w:rFonts w:ascii="Helvetica" w:eastAsia="宋体" w:hAnsi="Helvetica" w:cs="宋体"/>
          <w:color w:val="5F5F5F"/>
          <w:kern w:val="0"/>
          <w:sz w:val="20"/>
          <w:szCs w:val="20"/>
        </w:rPr>
        <w:t xml:space="preserve"> </w:t>
      </w:r>
      <w:r w:rsidRPr="00596C91">
        <w:rPr>
          <w:rFonts w:ascii="Helvetica" w:eastAsia="宋体" w:hAnsi="Helvetica" w:cs="宋体"/>
          <w:color w:val="5F5F5F"/>
          <w:kern w:val="0"/>
          <w:sz w:val="20"/>
          <w:szCs w:val="20"/>
        </w:rPr>
        <w:t>（肌酐清除率</w:t>
      </w:r>
      <w:r w:rsidRPr="00596C91">
        <w:rPr>
          <w:rFonts w:ascii="Helvetica" w:eastAsia="宋体" w:hAnsi="Helvetica" w:cs="宋体"/>
          <w:color w:val="5F5F5F"/>
          <w:kern w:val="0"/>
          <w:sz w:val="20"/>
          <w:szCs w:val="20"/>
        </w:rPr>
        <w:t>[CrCl]≥30</w:t>
      </w:r>
      <w:r w:rsidRPr="00596C91">
        <w:rPr>
          <w:rFonts w:ascii="Helvetica" w:eastAsia="宋体" w:hAnsi="Helvetica" w:cs="宋体"/>
          <w:color w:val="5F5F5F"/>
          <w:kern w:val="0"/>
          <w:sz w:val="20"/>
          <w:szCs w:val="20"/>
        </w:rPr>
        <w:t>至</w:t>
      </w:r>
      <w:r w:rsidRPr="00596C91">
        <w:rPr>
          <w:rFonts w:ascii="Helvetica" w:eastAsia="宋体" w:hAnsi="Helvetica" w:cs="宋体"/>
          <w:color w:val="5F5F5F"/>
          <w:kern w:val="0"/>
          <w:sz w:val="20"/>
          <w:szCs w:val="20"/>
        </w:rPr>
        <w:t>&lt;50 mL/min</w:t>
      </w:r>
      <w:r w:rsidRPr="00596C91">
        <w:rPr>
          <w:rFonts w:ascii="Helvetica" w:eastAsia="宋体" w:hAnsi="Helvetica" w:cs="宋体"/>
          <w:color w:val="5F5F5F"/>
          <w:kern w:val="0"/>
          <w:sz w:val="20"/>
          <w:szCs w:val="20"/>
        </w:rPr>
        <w:t>，相应的血清肌酐水平大约为男性</w:t>
      </w:r>
      <w:r w:rsidRPr="00596C91">
        <w:rPr>
          <w:rFonts w:ascii="Helvetica" w:eastAsia="宋体" w:hAnsi="Helvetica" w:cs="宋体"/>
          <w:color w:val="5F5F5F"/>
          <w:kern w:val="0"/>
          <w:sz w:val="20"/>
          <w:szCs w:val="20"/>
        </w:rPr>
        <w:t>&gt;1.7</w:t>
      </w:r>
      <w:r w:rsidRPr="00596C91">
        <w:rPr>
          <w:rFonts w:ascii="Helvetica" w:eastAsia="宋体" w:hAnsi="Helvetica" w:cs="宋体"/>
          <w:color w:val="5F5F5F"/>
          <w:kern w:val="0"/>
          <w:sz w:val="20"/>
          <w:szCs w:val="20"/>
        </w:rPr>
        <w:t>至</w:t>
      </w:r>
      <w:r w:rsidRPr="00596C91">
        <w:rPr>
          <w:rFonts w:ascii="Helvetica" w:eastAsia="宋体" w:hAnsi="Helvetica" w:cs="宋体"/>
          <w:color w:val="5F5F5F"/>
          <w:kern w:val="0"/>
          <w:sz w:val="20"/>
          <w:szCs w:val="20"/>
        </w:rPr>
        <w:t>≤3.0 mg/dL</w:t>
      </w:r>
      <w:r w:rsidRPr="00596C91">
        <w:rPr>
          <w:rFonts w:ascii="Helvetica" w:eastAsia="宋体" w:hAnsi="Helvetica" w:cs="宋体"/>
          <w:color w:val="5F5F5F"/>
          <w:kern w:val="0"/>
          <w:sz w:val="20"/>
          <w:szCs w:val="20"/>
        </w:rPr>
        <w:t>和女性</w:t>
      </w:r>
      <w:r w:rsidRPr="00596C91">
        <w:rPr>
          <w:rFonts w:ascii="Helvetica" w:eastAsia="宋体" w:hAnsi="Helvetica" w:cs="宋体"/>
          <w:color w:val="5F5F5F"/>
          <w:kern w:val="0"/>
          <w:sz w:val="20"/>
          <w:szCs w:val="20"/>
        </w:rPr>
        <w:t>&gt;1.5</w:t>
      </w:r>
      <w:r w:rsidRPr="00596C91">
        <w:rPr>
          <w:rFonts w:ascii="Helvetica" w:eastAsia="宋体" w:hAnsi="Helvetica" w:cs="宋体"/>
          <w:color w:val="5F5F5F"/>
          <w:kern w:val="0"/>
          <w:sz w:val="20"/>
          <w:szCs w:val="20"/>
        </w:rPr>
        <w:t>至</w:t>
      </w:r>
      <w:r w:rsidRPr="00596C91">
        <w:rPr>
          <w:rFonts w:ascii="Helvetica" w:eastAsia="宋体" w:hAnsi="Helvetica" w:cs="宋体"/>
          <w:color w:val="5F5F5F"/>
          <w:kern w:val="0"/>
          <w:sz w:val="20"/>
          <w:szCs w:val="20"/>
        </w:rPr>
        <w:t>≤2.5 mg/dL</w:t>
      </w:r>
      <w:r w:rsidRPr="00596C91">
        <w:rPr>
          <w:rFonts w:ascii="Helvetica" w:eastAsia="宋体" w:hAnsi="Helvetica" w:cs="宋体"/>
          <w:color w:val="5F5F5F"/>
          <w:kern w:val="0"/>
          <w:sz w:val="20"/>
          <w:szCs w:val="20"/>
        </w:rPr>
        <w:t>）</w:t>
      </w:r>
      <w:r w:rsidRPr="00596C91">
        <w:rPr>
          <w:rFonts w:ascii="Helvetica" w:eastAsia="宋体" w:hAnsi="Helvetica" w:cs="宋体"/>
          <w:color w:val="5F5F5F"/>
          <w:kern w:val="0"/>
          <w:sz w:val="20"/>
          <w:szCs w:val="20"/>
        </w:rPr>
        <w:t xml:space="preserve"> </w:t>
      </w:r>
      <w:r w:rsidRPr="00596C91">
        <w:rPr>
          <w:rFonts w:ascii="Helvetica" w:eastAsia="宋体" w:hAnsi="Helvetica" w:cs="宋体"/>
          <w:color w:val="5F5F5F"/>
          <w:kern w:val="0"/>
          <w:sz w:val="20"/>
          <w:szCs w:val="20"/>
        </w:rPr>
        <w:t>服用本品时，剂量调整为</w:t>
      </w:r>
      <w:r w:rsidRPr="00596C91">
        <w:rPr>
          <w:rFonts w:ascii="Helvetica" w:eastAsia="宋体" w:hAnsi="Helvetica" w:cs="宋体"/>
          <w:color w:val="5F5F5F"/>
          <w:kern w:val="0"/>
          <w:sz w:val="20"/>
          <w:szCs w:val="20"/>
        </w:rPr>
        <w:t>50mg</w:t>
      </w:r>
      <w:r w:rsidRPr="00596C91">
        <w:rPr>
          <w:rFonts w:ascii="Helvetica" w:eastAsia="宋体" w:hAnsi="Helvetica" w:cs="宋体"/>
          <w:color w:val="5F5F5F"/>
          <w:kern w:val="0"/>
          <w:sz w:val="20"/>
          <w:szCs w:val="20"/>
        </w:rPr>
        <w:t>每日一次。</w:t>
      </w:r>
    </w:p>
    <w:p w:rsidR="00596C91" w:rsidRPr="00596C91" w:rsidRDefault="00596C91" w:rsidP="00596C91">
      <w:pPr>
        <w:widowControl/>
        <w:shd w:val="clear" w:color="auto" w:fill="FFFFFF"/>
        <w:spacing w:before="120" w:after="120" w:line="200" w:lineRule="exact"/>
        <w:ind w:left="720"/>
        <w:jc w:val="left"/>
        <w:rPr>
          <w:rFonts w:ascii="Helvetica" w:eastAsia="宋体" w:hAnsi="Helvetica" w:cs="宋体"/>
          <w:color w:val="5F5F5F"/>
          <w:kern w:val="0"/>
          <w:sz w:val="20"/>
          <w:szCs w:val="20"/>
        </w:rPr>
      </w:pPr>
      <w:r w:rsidRPr="00596C91">
        <w:rPr>
          <w:rFonts w:ascii="Helvetica" w:eastAsia="宋体" w:hAnsi="Helvetica" w:cs="宋体"/>
          <w:color w:val="5F5F5F"/>
          <w:kern w:val="0"/>
          <w:sz w:val="20"/>
          <w:szCs w:val="20"/>
        </w:rPr>
        <w:t>严重肾功能不全的患者</w:t>
      </w:r>
      <w:r w:rsidRPr="00596C91">
        <w:rPr>
          <w:rFonts w:ascii="Helvetica" w:eastAsia="宋体" w:hAnsi="Helvetica" w:cs="宋体"/>
          <w:color w:val="5F5F5F"/>
          <w:kern w:val="0"/>
          <w:sz w:val="20"/>
          <w:szCs w:val="20"/>
        </w:rPr>
        <w:t xml:space="preserve"> </w:t>
      </w:r>
      <w:r w:rsidRPr="00596C91">
        <w:rPr>
          <w:rFonts w:ascii="Helvetica" w:eastAsia="宋体" w:hAnsi="Helvetica" w:cs="宋体"/>
          <w:color w:val="5F5F5F"/>
          <w:kern w:val="0"/>
          <w:sz w:val="20"/>
          <w:szCs w:val="20"/>
        </w:rPr>
        <w:t>（肌酐清除率</w:t>
      </w:r>
      <w:r w:rsidRPr="00596C91">
        <w:rPr>
          <w:rFonts w:ascii="Helvetica" w:eastAsia="宋体" w:hAnsi="Helvetica" w:cs="宋体"/>
          <w:color w:val="5F5F5F"/>
          <w:kern w:val="0"/>
          <w:sz w:val="20"/>
          <w:szCs w:val="20"/>
        </w:rPr>
        <w:t>[CrCl]&lt;30 mL/min</w:t>
      </w:r>
      <w:r w:rsidRPr="00596C91">
        <w:rPr>
          <w:rFonts w:ascii="Helvetica" w:eastAsia="宋体" w:hAnsi="Helvetica" w:cs="宋体"/>
          <w:color w:val="5F5F5F"/>
          <w:kern w:val="0"/>
          <w:sz w:val="20"/>
          <w:szCs w:val="20"/>
        </w:rPr>
        <w:t>，相应的血清肌酐水平大约为男性</w:t>
      </w:r>
      <w:r w:rsidRPr="00596C91">
        <w:rPr>
          <w:rFonts w:ascii="Helvetica" w:eastAsia="宋体" w:hAnsi="Helvetica" w:cs="宋体"/>
          <w:color w:val="5F5F5F"/>
          <w:kern w:val="0"/>
          <w:sz w:val="20"/>
          <w:szCs w:val="20"/>
        </w:rPr>
        <w:t>&gt;3.0 mg/dL</w:t>
      </w:r>
      <w:r w:rsidRPr="00596C91">
        <w:rPr>
          <w:rFonts w:ascii="Helvetica" w:eastAsia="宋体" w:hAnsi="Helvetica" w:cs="宋体"/>
          <w:color w:val="5F5F5F"/>
          <w:kern w:val="0"/>
          <w:sz w:val="20"/>
          <w:szCs w:val="20"/>
        </w:rPr>
        <w:t>和女性</w:t>
      </w:r>
      <w:r w:rsidRPr="00596C91">
        <w:rPr>
          <w:rFonts w:ascii="Helvetica" w:eastAsia="宋体" w:hAnsi="Helvetica" w:cs="宋体"/>
          <w:color w:val="5F5F5F"/>
          <w:kern w:val="0"/>
          <w:sz w:val="20"/>
          <w:szCs w:val="20"/>
        </w:rPr>
        <w:t>&gt;2.5 mg/dL</w:t>
      </w:r>
      <w:r w:rsidRPr="00596C91">
        <w:rPr>
          <w:rFonts w:ascii="Helvetica" w:eastAsia="宋体" w:hAnsi="Helvetica" w:cs="宋体"/>
          <w:color w:val="5F5F5F"/>
          <w:kern w:val="0"/>
          <w:sz w:val="20"/>
          <w:szCs w:val="20"/>
        </w:rPr>
        <w:t>）</w:t>
      </w:r>
      <w:r w:rsidRPr="00596C91">
        <w:rPr>
          <w:rFonts w:ascii="Helvetica" w:eastAsia="宋体" w:hAnsi="Helvetica" w:cs="宋体"/>
          <w:color w:val="5F5F5F"/>
          <w:kern w:val="0"/>
          <w:sz w:val="20"/>
          <w:szCs w:val="20"/>
        </w:rPr>
        <w:t xml:space="preserve"> </w:t>
      </w:r>
      <w:r w:rsidRPr="00596C91">
        <w:rPr>
          <w:rFonts w:ascii="Helvetica" w:eastAsia="宋体" w:hAnsi="Helvetica" w:cs="宋体"/>
          <w:color w:val="5F5F5F"/>
          <w:kern w:val="0"/>
          <w:sz w:val="20"/>
          <w:szCs w:val="20"/>
        </w:rPr>
        <w:t>或需要血液透析或腹膜透析的终末期肾病（</w:t>
      </w:r>
      <w:r w:rsidRPr="00596C91">
        <w:rPr>
          <w:rFonts w:ascii="Helvetica" w:eastAsia="宋体" w:hAnsi="Helvetica" w:cs="宋体"/>
          <w:color w:val="5F5F5F"/>
          <w:kern w:val="0"/>
          <w:sz w:val="20"/>
          <w:szCs w:val="20"/>
        </w:rPr>
        <w:t>ESRD</w:t>
      </w:r>
      <w:r w:rsidRPr="00596C91">
        <w:rPr>
          <w:rFonts w:ascii="Helvetica" w:eastAsia="宋体" w:hAnsi="Helvetica" w:cs="宋体"/>
          <w:color w:val="5F5F5F"/>
          <w:kern w:val="0"/>
          <w:sz w:val="20"/>
          <w:szCs w:val="20"/>
        </w:rPr>
        <w:t>）患者服用本品时，剂量调整为</w:t>
      </w:r>
      <w:r w:rsidRPr="00596C91">
        <w:rPr>
          <w:rFonts w:ascii="Helvetica" w:eastAsia="宋体" w:hAnsi="Helvetica" w:cs="宋体"/>
          <w:color w:val="5F5F5F"/>
          <w:kern w:val="0"/>
          <w:sz w:val="20"/>
          <w:szCs w:val="20"/>
        </w:rPr>
        <w:t>25 mg</w:t>
      </w:r>
      <w:r w:rsidRPr="00596C91">
        <w:rPr>
          <w:rFonts w:ascii="Helvetica" w:eastAsia="宋体" w:hAnsi="Helvetica" w:cs="宋体"/>
          <w:color w:val="5F5F5F"/>
          <w:kern w:val="0"/>
          <w:sz w:val="20"/>
          <w:szCs w:val="20"/>
        </w:rPr>
        <w:t>每日一次。服用本品不需要考虑透析的时间。</w:t>
      </w:r>
    </w:p>
    <w:p w:rsidR="00596C91" w:rsidRPr="00596C91" w:rsidRDefault="00596C91" w:rsidP="00596C91">
      <w:pPr>
        <w:widowControl/>
        <w:shd w:val="clear" w:color="auto" w:fill="FFFFFF"/>
        <w:spacing w:line="200" w:lineRule="exact"/>
        <w:ind w:left="720"/>
        <w:jc w:val="left"/>
        <w:rPr>
          <w:rFonts w:ascii="Helvetica" w:eastAsia="宋体" w:hAnsi="Helvetica" w:cs="宋体"/>
          <w:color w:val="5F5F5F"/>
          <w:kern w:val="0"/>
          <w:sz w:val="20"/>
          <w:szCs w:val="20"/>
        </w:rPr>
      </w:pPr>
      <w:r w:rsidRPr="00596C91">
        <w:rPr>
          <w:rFonts w:ascii="Helvetica" w:eastAsia="宋体" w:hAnsi="Helvetica" w:cs="宋体"/>
          <w:color w:val="5F5F5F"/>
          <w:kern w:val="0"/>
          <w:sz w:val="20"/>
          <w:szCs w:val="20"/>
        </w:rPr>
        <w:t>由于需要根据患者肾功能调整剂量，因此开始使用本品治疗之前建议对患者肾功能进行评估，之后定期评估。</w:t>
      </w:r>
    </w:p>
    <w:p w:rsidR="00596C91" w:rsidRPr="00596C91" w:rsidRDefault="00596C91" w:rsidP="00596C91">
      <w:pPr>
        <w:widowControl/>
        <w:pBdr>
          <w:top w:val="single" w:sz="6" w:space="10" w:color="E3E3E3"/>
        </w:pBdr>
        <w:shd w:val="clear" w:color="auto" w:fill="FFFFFF"/>
        <w:spacing w:line="200" w:lineRule="exact"/>
        <w:jc w:val="left"/>
        <w:rPr>
          <w:rFonts w:ascii="Helvetica" w:eastAsia="宋体" w:hAnsi="Helvetica" w:cs="宋体"/>
          <w:b/>
          <w:bCs/>
          <w:color w:val="545454"/>
          <w:kern w:val="0"/>
          <w:sz w:val="21"/>
          <w:szCs w:val="21"/>
        </w:rPr>
      </w:pPr>
      <w:r w:rsidRPr="00596C91">
        <w:rPr>
          <w:rFonts w:ascii="Helvetica" w:eastAsia="宋体" w:hAnsi="Helvetica" w:cs="宋体"/>
          <w:b/>
          <w:bCs/>
          <w:color w:val="545454"/>
          <w:kern w:val="0"/>
          <w:sz w:val="21"/>
        </w:rPr>
        <w:t>不良反应</w:t>
      </w:r>
      <w:r w:rsidRPr="00596C91">
        <w:rPr>
          <w:rFonts w:ascii="Helvetica" w:eastAsia="宋体" w:hAnsi="Helvetica" w:cs="宋体"/>
          <w:b/>
          <w:bCs/>
          <w:color w:val="545454"/>
          <w:kern w:val="0"/>
          <w:sz w:val="21"/>
        </w:rPr>
        <w:t>:</w:t>
      </w:r>
    </w:p>
    <w:p w:rsidR="00596C91" w:rsidRPr="00596C91" w:rsidRDefault="00596C91" w:rsidP="00596C91">
      <w:pPr>
        <w:widowControl/>
        <w:shd w:val="clear" w:color="auto" w:fill="FFFFFF"/>
        <w:spacing w:line="200" w:lineRule="exact"/>
        <w:ind w:left="720"/>
        <w:jc w:val="left"/>
        <w:rPr>
          <w:rFonts w:ascii="Helvetica" w:eastAsia="宋体" w:hAnsi="Helvetica" w:cs="宋体"/>
          <w:color w:val="5F5F5F"/>
          <w:kern w:val="0"/>
          <w:sz w:val="20"/>
          <w:szCs w:val="20"/>
        </w:rPr>
      </w:pPr>
      <w:r w:rsidRPr="00596C91">
        <w:rPr>
          <w:rFonts w:ascii="Helvetica" w:eastAsia="宋体" w:hAnsi="Helvetica" w:cs="宋体"/>
          <w:b/>
          <w:bCs/>
          <w:color w:val="5F5F5F"/>
          <w:kern w:val="0"/>
          <w:sz w:val="20"/>
        </w:rPr>
        <w:t>临床试验的经验</w:t>
      </w:r>
    </w:p>
    <w:p w:rsidR="00596C91" w:rsidRPr="00596C91" w:rsidRDefault="00596C91" w:rsidP="00596C91">
      <w:pPr>
        <w:widowControl/>
        <w:shd w:val="clear" w:color="auto" w:fill="FFFFFF"/>
        <w:spacing w:before="120" w:after="120" w:line="200" w:lineRule="exact"/>
        <w:ind w:left="720"/>
        <w:jc w:val="left"/>
        <w:rPr>
          <w:rFonts w:ascii="Helvetica" w:eastAsia="宋体" w:hAnsi="Helvetica" w:cs="宋体"/>
          <w:color w:val="5F5F5F"/>
          <w:kern w:val="0"/>
          <w:sz w:val="20"/>
          <w:szCs w:val="20"/>
        </w:rPr>
      </w:pPr>
      <w:r w:rsidRPr="00596C91">
        <w:rPr>
          <w:rFonts w:ascii="Helvetica" w:eastAsia="宋体" w:hAnsi="Helvetica" w:cs="宋体"/>
          <w:color w:val="5F5F5F"/>
          <w:kern w:val="0"/>
          <w:sz w:val="20"/>
          <w:szCs w:val="20"/>
        </w:rPr>
        <w:t>由于临床试验在一系列不同情况下进行，因此某类药物在临床试验中的不良反应发生率无法与另一类药物在临床试验中的不良反应发生率进行直接比较，并且不能反映临床实践中的不良反应发生率。</w:t>
      </w:r>
    </w:p>
    <w:p w:rsidR="00596C91" w:rsidRPr="00596C91" w:rsidRDefault="00596C91" w:rsidP="00596C91">
      <w:pPr>
        <w:widowControl/>
        <w:shd w:val="clear" w:color="auto" w:fill="FFFFFF"/>
        <w:spacing w:before="120" w:after="120" w:line="200" w:lineRule="exact"/>
        <w:ind w:left="720"/>
        <w:jc w:val="left"/>
        <w:rPr>
          <w:rFonts w:ascii="Helvetica" w:eastAsia="宋体" w:hAnsi="Helvetica" w:cs="宋体"/>
          <w:color w:val="5F5F5F"/>
          <w:kern w:val="0"/>
          <w:sz w:val="20"/>
          <w:szCs w:val="20"/>
        </w:rPr>
      </w:pPr>
      <w:r w:rsidRPr="00596C91">
        <w:rPr>
          <w:rFonts w:ascii="Helvetica" w:eastAsia="宋体" w:hAnsi="Helvetica" w:cs="宋体"/>
          <w:color w:val="5F5F5F"/>
          <w:kern w:val="0"/>
          <w:sz w:val="20"/>
          <w:szCs w:val="20"/>
        </w:rPr>
        <w:t>在本品单药治疗以及本品与二甲双胍或吡格列酮联合治疗的对照临床研究中，不良反应、低血糖和因临床不良反应导致停药的总体发生率在治疗组和安慰剂治疗组之间相似。本品与格列美脲联合治疗，加用或不加用二甲双胍时，本品治疗组临床不良反应的总体发生率高于安慰剂组，部分原因是本品治疗组的低血糖发生率较高</w:t>
      </w:r>
      <w:r w:rsidRPr="00596C91">
        <w:rPr>
          <w:rFonts w:ascii="Helvetica" w:eastAsia="宋体" w:hAnsi="Helvetica" w:cs="宋体"/>
          <w:color w:val="5F5F5F"/>
          <w:kern w:val="0"/>
          <w:sz w:val="20"/>
          <w:szCs w:val="20"/>
        </w:rPr>
        <w:t xml:space="preserve"> </w:t>
      </w:r>
      <w:r w:rsidRPr="00596C91">
        <w:rPr>
          <w:rFonts w:ascii="Helvetica" w:eastAsia="宋体" w:hAnsi="Helvetica" w:cs="宋体"/>
          <w:color w:val="5F5F5F"/>
          <w:kern w:val="0"/>
          <w:sz w:val="20"/>
          <w:szCs w:val="20"/>
        </w:rPr>
        <w:t>（参见表</w:t>
      </w:r>
      <w:r w:rsidRPr="00596C91">
        <w:rPr>
          <w:rFonts w:ascii="Helvetica" w:eastAsia="宋体" w:hAnsi="Helvetica" w:cs="宋体"/>
          <w:color w:val="5F5F5F"/>
          <w:kern w:val="0"/>
          <w:sz w:val="20"/>
          <w:szCs w:val="20"/>
        </w:rPr>
        <w:t>1</w:t>
      </w:r>
      <w:r w:rsidRPr="00596C91">
        <w:rPr>
          <w:rFonts w:ascii="Helvetica" w:eastAsia="宋体" w:hAnsi="Helvetica" w:cs="宋体"/>
          <w:color w:val="5F5F5F"/>
          <w:kern w:val="0"/>
          <w:sz w:val="20"/>
          <w:szCs w:val="20"/>
        </w:rPr>
        <w:t>）</w:t>
      </w:r>
      <w:r w:rsidRPr="00596C91">
        <w:rPr>
          <w:rFonts w:ascii="Helvetica" w:eastAsia="宋体" w:hAnsi="Helvetica" w:cs="宋体"/>
          <w:color w:val="5F5F5F"/>
          <w:kern w:val="0"/>
          <w:sz w:val="20"/>
          <w:szCs w:val="20"/>
        </w:rPr>
        <w:t xml:space="preserve"> </w:t>
      </w:r>
      <w:r w:rsidRPr="00596C91">
        <w:rPr>
          <w:rFonts w:ascii="Helvetica" w:eastAsia="宋体" w:hAnsi="Helvetica" w:cs="宋体"/>
          <w:color w:val="5F5F5F"/>
          <w:kern w:val="0"/>
          <w:sz w:val="20"/>
          <w:szCs w:val="20"/>
        </w:rPr>
        <w:t>；在本品治疗组中，因临床不良反应导致停药的发生率与安慰剂治疗组相似。</w:t>
      </w:r>
    </w:p>
    <w:p w:rsidR="00596C91" w:rsidRPr="00596C91" w:rsidRDefault="00596C91" w:rsidP="00596C91">
      <w:pPr>
        <w:widowControl/>
        <w:shd w:val="clear" w:color="auto" w:fill="FFFFFF"/>
        <w:spacing w:before="120" w:after="120" w:line="200" w:lineRule="exact"/>
        <w:ind w:left="720"/>
        <w:jc w:val="left"/>
        <w:rPr>
          <w:rFonts w:ascii="Helvetica" w:eastAsia="宋体" w:hAnsi="Helvetica" w:cs="宋体"/>
          <w:color w:val="5F5F5F"/>
          <w:kern w:val="0"/>
          <w:sz w:val="20"/>
          <w:szCs w:val="20"/>
        </w:rPr>
      </w:pPr>
      <w:r w:rsidRPr="00596C91">
        <w:rPr>
          <w:rFonts w:ascii="Helvetica" w:eastAsia="宋体" w:hAnsi="Helvetica" w:cs="宋体"/>
          <w:color w:val="5F5F5F"/>
          <w:kern w:val="0"/>
          <w:sz w:val="20"/>
          <w:szCs w:val="20"/>
        </w:rPr>
        <w:t>在</w:t>
      </w:r>
      <w:r w:rsidRPr="00596C91">
        <w:rPr>
          <w:rFonts w:ascii="Helvetica" w:eastAsia="宋体" w:hAnsi="Helvetica" w:cs="宋体"/>
          <w:color w:val="5F5F5F"/>
          <w:kern w:val="0"/>
          <w:sz w:val="20"/>
          <w:szCs w:val="20"/>
        </w:rPr>
        <w:t>2</w:t>
      </w:r>
      <w:r w:rsidRPr="00596C91">
        <w:rPr>
          <w:rFonts w:ascii="Helvetica" w:eastAsia="宋体" w:hAnsi="Helvetica" w:cs="宋体"/>
          <w:color w:val="5F5F5F"/>
          <w:kern w:val="0"/>
          <w:sz w:val="20"/>
          <w:szCs w:val="20"/>
        </w:rPr>
        <w:t>项分别为期</w:t>
      </w:r>
      <w:r w:rsidRPr="00596C91">
        <w:rPr>
          <w:rFonts w:ascii="Helvetica" w:eastAsia="宋体" w:hAnsi="Helvetica" w:cs="宋体"/>
          <w:color w:val="5F5F5F"/>
          <w:kern w:val="0"/>
          <w:sz w:val="20"/>
          <w:szCs w:val="20"/>
        </w:rPr>
        <w:t>18</w:t>
      </w:r>
      <w:r w:rsidRPr="00596C91">
        <w:rPr>
          <w:rFonts w:ascii="Helvetica" w:eastAsia="宋体" w:hAnsi="Helvetica" w:cs="宋体"/>
          <w:color w:val="5F5F5F"/>
          <w:kern w:val="0"/>
          <w:sz w:val="20"/>
          <w:szCs w:val="20"/>
        </w:rPr>
        <w:t>周和</w:t>
      </w:r>
      <w:r w:rsidRPr="00596C91">
        <w:rPr>
          <w:rFonts w:ascii="Helvetica" w:eastAsia="宋体" w:hAnsi="Helvetica" w:cs="宋体"/>
          <w:color w:val="5F5F5F"/>
          <w:kern w:val="0"/>
          <w:sz w:val="20"/>
          <w:szCs w:val="20"/>
        </w:rPr>
        <w:t>24</w:t>
      </w:r>
      <w:r w:rsidRPr="00596C91">
        <w:rPr>
          <w:rFonts w:ascii="Helvetica" w:eastAsia="宋体" w:hAnsi="Helvetica" w:cs="宋体"/>
          <w:color w:val="5F5F5F"/>
          <w:kern w:val="0"/>
          <w:sz w:val="20"/>
          <w:szCs w:val="20"/>
        </w:rPr>
        <w:t>周的安慰剂对照的单药治疗研究中，患者接受了本品</w:t>
      </w:r>
      <w:r w:rsidRPr="00596C91">
        <w:rPr>
          <w:rFonts w:ascii="Helvetica" w:eastAsia="宋体" w:hAnsi="Helvetica" w:cs="宋体"/>
          <w:color w:val="5F5F5F"/>
          <w:kern w:val="0"/>
          <w:sz w:val="20"/>
          <w:szCs w:val="20"/>
        </w:rPr>
        <w:t>100 mg</w:t>
      </w:r>
      <w:r w:rsidRPr="00596C91">
        <w:rPr>
          <w:rFonts w:ascii="Helvetica" w:eastAsia="宋体" w:hAnsi="Helvetica" w:cs="宋体"/>
          <w:color w:val="5F5F5F"/>
          <w:kern w:val="0"/>
          <w:sz w:val="20"/>
          <w:szCs w:val="20"/>
        </w:rPr>
        <w:t>，每日一次、本品</w:t>
      </w:r>
      <w:r w:rsidRPr="00596C91">
        <w:rPr>
          <w:rFonts w:ascii="Helvetica" w:eastAsia="宋体" w:hAnsi="Helvetica" w:cs="宋体"/>
          <w:color w:val="5F5F5F"/>
          <w:kern w:val="0"/>
          <w:sz w:val="20"/>
          <w:szCs w:val="20"/>
        </w:rPr>
        <w:t>200 mg</w:t>
      </w:r>
      <w:r w:rsidRPr="00596C91">
        <w:rPr>
          <w:rFonts w:ascii="Helvetica" w:eastAsia="宋体" w:hAnsi="Helvetica" w:cs="宋体"/>
          <w:color w:val="5F5F5F"/>
          <w:kern w:val="0"/>
          <w:sz w:val="20"/>
          <w:szCs w:val="20"/>
        </w:rPr>
        <w:t>，每日一次和安慰剂治疗。此外，研究者还进行了</w:t>
      </w:r>
      <w:r w:rsidRPr="00596C91">
        <w:rPr>
          <w:rFonts w:ascii="Helvetica" w:eastAsia="宋体" w:hAnsi="Helvetica" w:cs="宋体"/>
          <w:color w:val="5F5F5F"/>
          <w:kern w:val="0"/>
          <w:sz w:val="20"/>
          <w:szCs w:val="20"/>
        </w:rPr>
        <w:t>3</w:t>
      </w:r>
      <w:r w:rsidRPr="00596C91">
        <w:rPr>
          <w:rFonts w:ascii="Helvetica" w:eastAsia="宋体" w:hAnsi="Helvetica" w:cs="宋体"/>
          <w:color w:val="5F5F5F"/>
          <w:kern w:val="0"/>
          <w:sz w:val="20"/>
          <w:szCs w:val="20"/>
        </w:rPr>
        <w:t>项为期</w:t>
      </w:r>
      <w:r w:rsidRPr="00596C91">
        <w:rPr>
          <w:rFonts w:ascii="Helvetica" w:eastAsia="宋体" w:hAnsi="Helvetica" w:cs="宋体"/>
          <w:color w:val="5F5F5F"/>
          <w:kern w:val="0"/>
          <w:sz w:val="20"/>
          <w:szCs w:val="20"/>
        </w:rPr>
        <w:t>24</w:t>
      </w:r>
      <w:r w:rsidRPr="00596C91">
        <w:rPr>
          <w:rFonts w:ascii="Helvetica" w:eastAsia="宋体" w:hAnsi="Helvetica" w:cs="宋体"/>
          <w:color w:val="5F5F5F"/>
          <w:kern w:val="0"/>
          <w:sz w:val="20"/>
          <w:szCs w:val="20"/>
        </w:rPr>
        <w:t>周的安慰剂对照、联合治疗研究，分别为联合二甲双胍、联合吡格列酮和联合格列美脲，加用或不加用二甲双胍的治疗研究。</w:t>
      </w:r>
    </w:p>
    <w:p w:rsidR="00596C91" w:rsidRPr="00596C91" w:rsidRDefault="00596C91" w:rsidP="00596C91">
      <w:pPr>
        <w:widowControl/>
        <w:shd w:val="clear" w:color="auto" w:fill="FFFFFF"/>
        <w:spacing w:before="120" w:after="120" w:line="200" w:lineRule="exact"/>
        <w:ind w:left="720"/>
        <w:jc w:val="left"/>
        <w:rPr>
          <w:rFonts w:ascii="Helvetica" w:eastAsia="宋体" w:hAnsi="Helvetica" w:cs="宋体"/>
          <w:color w:val="5F5F5F"/>
          <w:kern w:val="0"/>
          <w:sz w:val="20"/>
          <w:szCs w:val="20"/>
        </w:rPr>
      </w:pPr>
      <w:r w:rsidRPr="00596C91">
        <w:rPr>
          <w:rFonts w:ascii="Helvetica" w:eastAsia="宋体" w:hAnsi="Helvetica" w:cs="宋体"/>
          <w:color w:val="5F5F5F"/>
          <w:kern w:val="0"/>
          <w:sz w:val="20"/>
          <w:szCs w:val="20"/>
        </w:rPr>
        <w:t>除了稳定剂量的二甲双胍、吡格列酮、格列美脲或格列美脲加二甲双胍外，糖尿病控制不良的患者还接受了本品</w:t>
      </w:r>
      <w:r w:rsidRPr="00596C91">
        <w:rPr>
          <w:rFonts w:ascii="Helvetica" w:eastAsia="宋体" w:hAnsi="Helvetica" w:cs="宋体"/>
          <w:color w:val="5F5F5F"/>
          <w:kern w:val="0"/>
          <w:sz w:val="20"/>
          <w:szCs w:val="20"/>
        </w:rPr>
        <w:t>100 mg</w:t>
      </w:r>
      <w:r w:rsidRPr="00596C91">
        <w:rPr>
          <w:rFonts w:ascii="Helvetica" w:eastAsia="宋体" w:hAnsi="Helvetica" w:cs="宋体"/>
          <w:color w:val="5F5F5F"/>
          <w:kern w:val="0"/>
          <w:sz w:val="20"/>
          <w:szCs w:val="20"/>
        </w:rPr>
        <w:t>，每日一次或安慰剂治疗。不考虑研究者对因果关系的评估结果，在本品</w:t>
      </w:r>
      <w:r w:rsidRPr="00596C91">
        <w:rPr>
          <w:rFonts w:ascii="Helvetica" w:eastAsia="宋体" w:hAnsi="Helvetica" w:cs="宋体"/>
          <w:color w:val="5F5F5F"/>
          <w:kern w:val="0"/>
          <w:sz w:val="20"/>
          <w:szCs w:val="20"/>
        </w:rPr>
        <w:t>100 mg</w:t>
      </w:r>
      <w:r w:rsidRPr="00596C91">
        <w:rPr>
          <w:rFonts w:ascii="Helvetica" w:eastAsia="宋体" w:hAnsi="Helvetica" w:cs="宋体"/>
          <w:color w:val="5F5F5F"/>
          <w:kern w:val="0"/>
          <w:sz w:val="20"/>
          <w:szCs w:val="20"/>
        </w:rPr>
        <w:t>，每日一次单药治疗组、本品加吡格列酮联合治疗组或本</w:t>
      </w:r>
      <w:r w:rsidRPr="00596C91">
        <w:rPr>
          <w:rFonts w:ascii="Helvetica" w:eastAsia="宋体" w:hAnsi="Helvetica" w:cs="宋体"/>
          <w:color w:val="5F5F5F"/>
          <w:kern w:val="0"/>
          <w:sz w:val="20"/>
          <w:szCs w:val="20"/>
        </w:rPr>
        <w:lastRenderedPageBreak/>
        <w:t>品加格列美脲，加用或不加用二甲双胍联合治疗组中发生率</w:t>
      </w:r>
      <w:r w:rsidRPr="00596C91">
        <w:rPr>
          <w:rFonts w:ascii="Helvetica" w:eastAsia="宋体" w:hAnsi="Helvetica" w:cs="宋体"/>
          <w:color w:val="5F5F5F"/>
          <w:kern w:val="0"/>
          <w:sz w:val="20"/>
          <w:szCs w:val="20"/>
        </w:rPr>
        <w:t>≥5%</w:t>
      </w:r>
      <w:r w:rsidRPr="00596C91">
        <w:rPr>
          <w:rFonts w:ascii="Helvetica" w:eastAsia="宋体" w:hAnsi="Helvetica" w:cs="宋体"/>
          <w:color w:val="5F5F5F"/>
          <w:kern w:val="0"/>
          <w:sz w:val="20"/>
          <w:szCs w:val="20"/>
        </w:rPr>
        <w:t>并且高于安慰剂治疗组的不良反应，请参见表</w:t>
      </w:r>
      <w:r w:rsidRPr="00596C91">
        <w:rPr>
          <w:rFonts w:ascii="Helvetica" w:eastAsia="宋体" w:hAnsi="Helvetica" w:cs="宋体"/>
          <w:color w:val="5F5F5F"/>
          <w:kern w:val="0"/>
          <w:sz w:val="20"/>
          <w:szCs w:val="20"/>
        </w:rPr>
        <w:t>1</w:t>
      </w:r>
      <w:r w:rsidRPr="00596C91">
        <w:rPr>
          <w:rFonts w:ascii="Helvetica" w:eastAsia="宋体" w:hAnsi="Helvetica" w:cs="宋体"/>
          <w:color w:val="5F5F5F"/>
          <w:kern w:val="0"/>
          <w:sz w:val="20"/>
          <w:szCs w:val="20"/>
        </w:rPr>
        <w:t>。</w:t>
      </w:r>
    </w:p>
    <w:p w:rsidR="00596C91" w:rsidRPr="00596C91" w:rsidRDefault="00596C91" w:rsidP="00596C91">
      <w:pPr>
        <w:widowControl/>
        <w:shd w:val="clear" w:color="auto" w:fill="FFFFFF"/>
        <w:spacing w:before="120" w:after="120" w:line="200" w:lineRule="exact"/>
        <w:ind w:left="720"/>
        <w:jc w:val="left"/>
        <w:rPr>
          <w:rFonts w:ascii="Helvetica" w:eastAsia="宋体" w:hAnsi="Helvetica" w:cs="宋体"/>
          <w:color w:val="5F5F5F"/>
          <w:kern w:val="0"/>
          <w:sz w:val="20"/>
          <w:szCs w:val="20"/>
        </w:rPr>
      </w:pPr>
      <w:r w:rsidRPr="00596C91">
        <w:rPr>
          <w:rFonts w:ascii="Helvetica" w:eastAsia="宋体" w:hAnsi="Helvetica" w:cs="宋体"/>
          <w:color w:val="5F5F5F"/>
          <w:kern w:val="0"/>
          <w:sz w:val="20"/>
          <w:szCs w:val="20"/>
        </w:rPr>
        <w:t>表</w:t>
      </w:r>
      <w:r w:rsidRPr="00596C91">
        <w:rPr>
          <w:rFonts w:ascii="Helvetica" w:eastAsia="宋体" w:hAnsi="Helvetica" w:cs="宋体"/>
          <w:color w:val="5F5F5F"/>
          <w:kern w:val="0"/>
          <w:sz w:val="20"/>
          <w:szCs w:val="20"/>
        </w:rPr>
        <w:t>1</w:t>
      </w:r>
    </w:p>
    <w:p w:rsidR="00596C91" w:rsidRPr="00596C91" w:rsidRDefault="00596C91" w:rsidP="00596C91">
      <w:pPr>
        <w:widowControl/>
        <w:shd w:val="clear" w:color="auto" w:fill="FFFFFF"/>
        <w:spacing w:before="120" w:after="120" w:line="200" w:lineRule="exact"/>
        <w:ind w:left="720"/>
        <w:jc w:val="left"/>
        <w:rPr>
          <w:rFonts w:ascii="Helvetica" w:eastAsia="宋体" w:hAnsi="Helvetica" w:cs="宋体"/>
          <w:color w:val="5F5F5F"/>
          <w:kern w:val="0"/>
          <w:sz w:val="20"/>
          <w:szCs w:val="20"/>
        </w:rPr>
      </w:pPr>
      <w:r>
        <w:rPr>
          <w:rFonts w:ascii="Helvetica" w:eastAsia="宋体" w:hAnsi="Helvetica" w:cs="宋体"/>
          <w:noProof/>
          <w:color w:val="5F5F5F"/>
          <w:kern w:val="0"/>
          <w:sz w:val="20"/>
          <w:szCs w:val="20"/>
        </w:rPr>
        <w:drawing>
          <wp:inline distT="0" distB="0" distL="0" distR="0">
            <wp:extent cx="1524000" cy="952500"/>
            <wp:effectExtent l="19050" t="0" r="0" b="0"/>
            <wp:docPr id="1" name="图片 1" descr="http://drugs.dxy.cn/image/2012/07/26/1343265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rugs.dxy.cn/image/2012/07/26/1343265670.jpg"/>
                    <pic:cNvPicPr>
                      <a:picLocks noChangeAspect="1" noChangeArrowheads="1"/>
                    </pic:cNvPicPr>
                  </pic:nvPicPr>
                  <pic:blipFill>
                    <a:blip r:embed="rId8" cstate="print"/>
                    <a:srcRect/>
                    <a:stretch>
                      <a:fillRect/>
                    </a:stretch>
                  </pic:blipFill>
                  <pic:spPr bwMode="auto">
                    <a:xfrm>
                      <a:off x="0" y="0"/>
                      <a:ext cx="1524000" cy="952500"/>
                    </a:xfrm>
                    <a:prstGeom prst="rect">
                      <a:avLst/>
                    </a:prstGeom>
                    <a:noFill/>
                    <a:ln w="9525">
                      <a:noFill/>
                      <a:miter lim="800000"/>
                      <a:headEnd/>
                      <a:tailEnd/>
                    </a:ln>
                  </pic:spPr>
                </pic:pic>
              </a:graphicData>
            </a:graphic>
          </wp:inline>
        </w:drawing>
      </w:r>
    </w:p>
    <w:p w:rsidR="00596C91" w:rsidRPr="00596C91" w:rsidRDefault="00596C91" w:rsidP="00596C91">
      <w:pPr>
        <w:widowControl/>
        <w:shd w:val="clear" w:color="auto" w:fill="FFFFFF"/>
        <w:spacing w:before="120" w:after="120" w:line="200" w:lineRule="exact"/>
        <w:ind w:left="720"/>
        <w:jc w:val="left"/>
        <w:rPr>
          <w:rFonts w:ascii="Helvetica" w:eastAsia="宋体" w:hAnsi="Helvetica" w:cs="宋体"/>
          <w:color w:val="5F5F5F"/>
          <w:kern w:val="0"/>
          <w:sz w:val="20"/>
          <w:szCs w:val="20"/>
        </w:rPr>
      </w:pPr>
      <w:r w:rsidRPr="00596C91">
        <w:rPr>
          <w:rFonts w:ascii="Helvetica" w:eastAsia="宋体" w:hAnsi="Helvetica" w:cs="宋体"/>
          <w:color w:val="5F5F5F"/>
          <w:kern w:val="0"/>
          <w:sz w:val="20"/>
          <w:szCs w:val="20"/>
        </w:rPr>
        <w:t>在本品与二甲双胍联合治疗的临床研究中，不考虑研究者对因果关系的评估结果，没有发生率</w:t>
      </w:r>
      <w:r w:rsidRPr="00596C91">
        <w:rPr>
          <w:rFonts w:ascii="Helvetica" w:eastAsia="宋体" w:hAnsi="Helvetica" w:cs="宋体"/>
          <w:color w:val="5F5F5F"/>
          <w:kern w:val="0"/>
          <w:sz w:val="20"/>
          <w:szCs w:val="20"/>
        </w:rPr>
        <w:t>≥5%</w:t>
      </w:r>
      <w:r w:rsidRPr="00596C91">
        <w:rPr>
          <w:rFonts w:ascii="Helvetica" w:eastAsia="宋体" w:hAnsi="Helvetica" w:cs="宋体"/>
          <w:color w:val="5F5F5F"/>
          <w:kern w:val="0"/>
          <w:sz w:val="20"/>
          <w:szCs w:val="20"/>
        </w:rPr>
        <w:t>并且高于安慰剂治疗组患者的不良反应。</w:t>
      </w:r>
    </w:p>
    <w:p w:rsidR="00596C91" w:rsidRPr="00596C91" w:rsidRDefault="00596C91" w:rsidP="00596C91">
      <w:pPr>
        <w:widowControl/>
        <w:shd w:val="clear" w:color="auto" w:fill="FFFFFF"/>
        <w:spacing w:before="120" w:after="120" w:line="200" w:lineRule="exact"/>
        <w:ind w:left="720"/>
        <w:jc w:val="left"/>
        <w:rPr>
          <w:rFonts w:ascii="Helvetica" w:eastAsia="宋体" w:hAnsi="Helvetica" w:cs="宋体"/>
          <w:color w:val="5F5F5F"/>
          <w:kern w:val="0"/>
          <w:sz w:val="20"/>
          <w:szCs w:val="20"/>
        </w:rPr>
      </w:pPr>
      <w:r w:rsidRPr="00596C91">
        <w:rPr>
          <w:rFonts w:ascii="Helvetica" w:eastAsia="宋体" w:hAnsi="Helvetica" w:cs="宋体"/>
          <w:color w:val="5F5F5F"/>
          <w:kern w:val="0"/>
          <w:sz w:val="20"/>
          <w:szCs w:val="20"/>
        </w:rPr>
        <w:t>在包括</w:t>
      </w:r>
      <w:r w:rsidRPr="00596C91">
        <w:rPr>
          <w:rFonts w:ascii="Helvetica" w:eastAsia="宋体" w:hAnsi="Helvetica" w:cs="宋体"/>
          <w:color w:val="5F5F5F"/>
          <w:kern w:val="0"/>
          <w:sz w:val="20"/>
          <w:szCs w:val="20"/>
        </w:rPr>
        <w:t>2</w:t>
      </w:r>
      <w:r w:rsidRPr="00596C91">
        <w:rPr>
          <w:rFonts w:ascii="Helvetica" w:eastAsia="宋体" w:hAnsi="Helvetica" w:cs="宋体"/>
          <w:color w:val="5F5F5F"/>
          <w:kern w:val="0"/>
          <w:sz w:val="20"/>
          <w:szCs w:val="20"/>
        </w:rPr>
        <w:t>项单药治疗研究，二甲双胍联合治疗研究和吡格列酮联合治疗研究的汇总分析中，接受本品</w:t>
      </w:r>
      <w:r w:rsidRPr="00596C91">
        <w:rPr>
          <w:rFonts w:ascii="Helvetica" w:eastAsia="宋体" w:hAnsi="Helvetica" w:cs="宋体"/>
          <w:color w:val="5F5F5F"/>
          <w:kern w:val="0"/>
          <w:sz w:val="20"/>
          <w:szCs w:val="20"/>
        </w:rPr>
        <w:t>100 mg</w:t>
      </w:r>
      <w:r w:rsidRPr="00596C91">
        <w:rPr>
          <w:rFonts w:ascii="Helvetica" w:eastAsia="宋体" w:hAnsi="Helvetica" w:cs="宋体"/>
          <w:color w:val="5F5F5F"/>
          <w:kern w:val="0"/>
          <w:sz w:val="20"/>
          <w:szCs w:val="20"/>
        </w:rPr>
        <w:t>和安慰剂治疗的患者中低血糖不良反应的总体发生率相似</w:t>
      </w:r>
      <w:r w:rsidRPr="00596C91">
        <w:rPr>
          <w:rFonts w:ascii="Helvetica" w:eastAsia="宋体" w:hAnsi="Helvetica" w:cs="宋体"/>
          <w:color w:val="5F5F5F"/>
          <w:kern w:val="0"/>
          <w:sz w:val="20"/>
          <w:szCs w:val="20"/>
        </w:rPr>
        <w:t xml:space="preserve"> </w:t>
      </w:r>
      <w:r w:rsidRPr="00596C91">
        <w:rPr>
          <w:rFonts w:ascii="Helvetica" w:eastAsia="宋体" w:hAnsi="Helvetica" w:cs="宋体"/>
          <w:color w:val="5F5F5F"/>
          <w:kern w:val="0"/>
          <w:sz w:val="20"/>
          <w:szCs w:val="20"/>
        </w:rPr>
        <w:t>（分别为</w:t>
      </w:r>
      <w:r w:rsidRPr="00596C91">
        <w:rPr>
          <w:rFonts w:ascii="Helvetica" w:eastAsia="宋体" w:hAnsi="Helvetica" w:cs="宋体"/>
          <w:color w:val="5F5F5F"/>
          <w:kern w:val="0"/>
          <w:sz w:val="20"/>
          <w:szCs w:val="20"/>
        </w:rPr>
        <w:t>1.2%</w:t>
      </w:r>
      <w:r w:rsidRPr="00596C91">
        <w:rPr>
          <w:rFonts w:ascii="Helvetica" w:eastAsia="宋体" w:hAnsi="Helvetica" w:cs="宋体"/>
          <w:color w:val="5F5F5F"/>
          <w:kern w:val="0"/>
          <w:sz w:val="20"/>
          <w:szCs w:val="20"/>
        </w:rPr>
        <w:t>和</w:t>
      </w:r>
      <w:r w:rsidRPr="00596C91">
        <w:rPr>
          <w:rFonts w:ascii="Helvetica" w:eastAsia="宋体" w:hAnsi="Helvetica" w:cs="宋体"/>
          <w:color w:val="5F5F5F"/>
          <w:kern w:val="0"/>
          <w:sz w:val="20"/>
          <w:szCs w:val="20"/>
        </w:rPr>
        <w:t>0.9%</w:t>
      </w:r>
      <w:r w:rsidRPr="00596C91">
        <w:rPr>
          <w:rFonts w:ascii="Helvetica" w:eastAsia="宋体" w:hAnsi="Helvetica" w:cs="宋体"/>
          <w:color w:val="5F5F5F"/>
          <w:kern w:val="0"/>
          <w:sz w:val="20"/>
          <w:szCs w:val="20"/>
        </w:rPr>
        <w:t>）</w:t>
      </w:r>
      <w:r w:rsidRPr="00596C91">
        <w:rPr>
          <w:rFonts w:ascii="Helvetica" w:eastAsia="宋体" w:hAnsi="Helvetica" w:cs="宋体"/>
          <w:color w:val="5F5F5F"/>
          <w:kern w:val="0"/>
          <w:sz w:val="20"/>
          <w:szCs w:val="20"/>
        </w:rPr>
        <w:t xml:space="preserve"> </w:t>
      </w:r>
      <w:r w:rsidRPr="00596C91">
        <w:rPr>
          <w:rFonts w:ascii="Helvetica" w:eastAsia="宋体" w:hAnsi="Helvetica" w:cs="宋体"/>
          <w:color w:val="5F5F5F"/>
          <w:kern w:val="0"/>
          <w:sz w:val="20"/>
          <w:szCs w:val="20"/>
        </w:rPr>
        <w:t>。低血糖不良反应来自所有低血糖症报告；不需要同时测定患者的血糖水平。在接受本品治疗的患者中，特定的胃肠道不良反应的发生率如下所示：腹痛（本品</w:t>
      </w:r>
      <w:r w:rsidRPr="00596C91">
        <w:rPr>
          <w:rFonts w:ascii="Helvetica" w:eastAsia="宋体" w:hAnsi="Helvetica" w:cs="宋体"/>
          <w:color w:val="5F5F5F"/>
          <w:kern w:val="0"/>
          <w:sz w:val="20"/>
          <w:szCs w:val="20"/>
        </w:rPr>
        <w:t>100 mg</w:t>
      </w:r>
      <w:r w:rsidRPr="00596C91">
        <w:rPr>
          <w:rFonts w:ascii="Helvetica" w:eastAsia="宋体" w:hAnsi="Helvetica" w:cs="宋体"/>
          <w:color w:val="5F5F5F"/>
          <w:kern w:val="0"/>
          <w:sz w:val="20"/>
          <w:szCs w:val="20"/>
        </w:rPr>
        <w:t>治疗组，</w:t>
      </w:r>
      <w:r w:rsidRPr="00596C91">
        <w:rPr>
          <w:rFonts w:ascii="Helvetica" w:eastAsia="宋体" w:hAnsi="Helvetica" w:cs="宋体"/>
          <w:color w:val="5F5F5F"/>
          <w:kern w:val="0"/>
          <w:sz w:val="20"/>
          <w:szCs w:val="20"/>
        </w:rPr>
        <w:t>2.3%</w:t>
      </w:r>
      <w:r w:rsidRPr="00596C91">
        <w:rPr>
          <w:rFonts w:ascii="Helvetica" w:eastAsia="宋体" w:hAnsi="Helvetica" w:cs="宋体"/>
          <w:color w:val="5F5F5F"/>
          <w:kern w:val="0"/>
          <w:sz w:val="20"/>
          <w:szCs w:val="20"/>
        </w:rPr>
        <w:t>；安慰剂治疗组，</w:t>
      </w:r>
      <w:r w:rsidRPr="00596C91">
        <w:rPr>
          <w:rFonts w:ascii="Helvetica" w:eastAsia="宋体" w:hAnsi="Helvetica" w:cs="宋体"/>
          <w:color w:val="5F5F5F"/>
          <w:kern w:val="0"/>
          <w:sz w:val="20"/>
          <w:szCs w:val="20"/>
        </w:rPr>
        <w:t>2.1%</w:t>
      </w:r>
      <w:r w:rsidRPr="00596C91">
        <w:rPr>
          <w:rFonts w:ascii="Helvetica" w:eastAsia="宋体" w:hAnsi="Helvetica" w:cs="宋体"/>
          <w:color w:val="5F5F5F"/>
          <w:kern w:val="0"/>
          <w:sz w:val="20"/>
          <w:szCs w:val="20"/>
        </w:rPr>
        <w:t>）、恶心</w:t>
      </w:r>
      <w:r w:rsidRPr="00596C91">
        <w:rPr>
          <w:rFonts w:ascii="Helvetica" w:eastAsia="宋体" w:hAnsi="Helvetica" w:cs="宋体"/>
          <w:color w:val="5F5F5F"/>
          <w:kern w:val="0"/>
          <w:sz w:val="20"/>
          <w:szCs w:val="20"/>
        </w:rPr>
        <w:t xml:space="preserve"> </w:t>
      </w:r>
      <w:r w:rsidRPr="00596C91">
        <w:rPr>
          <w:rFonts w:ascii="Helvetica" w:eastAsia="宋体" w:hAnsi="Helvetica" w:cs="宋体"/>
          <w:color w:val="5F5F5F"/>
          <w:kern w:val="0"/>
          <w:sz w:val="20"/>
          <w:szCs w:val="20"/>
        </w:rPr>
        <w:t>（本品</w:t>
      </w:r>
      <w:r w:rsidRPr="00596C91">
        <w:rPr>
          <w:rFonts w:ascii="Helvetica" w:eastAsia="宋体" w:hAnsi="Helvetica" w:cs="宋体"/>
          <w:color w:val="5F5F5F"/>
          <w:kern w:val="0"/>
          <w:sz w:val="20"/>
          <w:szCs w:val="20"/>
        </w:rPr>
        <w:t>100 mg</w:t>
      </w:r>
      <w:r w:rsidRPr="00596C91">
        <w:rPr>
          <w:rFonts w:ascii="Helvetica" w:eastAsia="宋体" w:hAnsi="Helvetica" w:cs="宋体"/>
          <w:color w:val="5F5F5F"/>
          <w:kern w:val="0"/>
          <w:sz w:val="20"/>
          <w:szCs w:val="20"/>
        </w:rPr>
        <w:t>治疗组，</w:t>
      </w:r>
      <w:r w:rsidRPr="00596C91">
        <w:rPr>
          <w:rFonts w:ascii="Helvetica" w:eastAsia="宋体" w:hAnsi="Helvetica" w:cs="宋体"/>
          <w:color w:val="5F5F5F"/>
          <w:kern w:val="0"/>
          <w:sz w:val="20"/>
          <w:szCs w:val="20"/>
        </w:rPr>
        <w:t>1.4%</w:t>
      </w:r>
      <w:r w:rsidRPr="00596C91">
        <w:rPr>
          <w:rFonts w:ascii="Helvetica" w:eastAsia="宋体" w:hAnsi="Helvetica" w:cs="宋体"/>
          <w:color w:val="5F5F5F"/>
          <w:kern w:val="0"/>
          <w:sz w:val="20"/>
          <w:szCs w:val="20"/>
        </w:rPr>
        <w:t>；安慰剂治疗组，</w:t>
      </w:r>
      <w:r w:rsidRPr="00596C91">
        <w:rPr>
          <w:rFonts w:ascii="Helvetica" w:eastAsia="宋体" w:hAnsi="Helvetica" w:cs="宋体"/>
          <w:color w:val="5F5F5F"/>
          <w:kern w:val="0"/>
          <w:sz w:val="20"/>
          <w:szCs w:val="20"/>
        </w:rPr>
        <w:t>0.6%</w:t>
      </w:r>
      <w:r w:rsidRPr="00596C91">
        <w:rPr>
          <w:rFonts w:ascii="Helvetica" w:eastAsia="宋体" w:hAnsi="Helvetica" w:cs="宋体"/>
          <w:color w:val="5F5F5F"/>
          <w:kern w:val="0"/>
          <w:sz w:val="20"/>
          <w:szCs w:val="20"/>
        </w:rPr>
        <w:t>）</w:t>
      </w:r>
      <w:r w:rsidRPr="00596C91">
        <w:rPr>
          <w:rFonts w:ascii="Helvetica" w:eastAsia="宋体" w:hAnsi="Helvetica" w:cs="宋体"/>
          <w:color w:val="5F5F5F"/>
          <w:kern w:val="0"/>
          <w:sz w:val="20"/>
          <w:szCs w:val="20"/>
        </w:rPr>
        <w:t xml:space="preserve"> </w:t>
      </w:r>
      <w:r w:rsidRPr="00596C91">
        <w:rPr>
          <w:rFonts w:ascii="Helvetica" w:eastAsia="宋体" w:hAnsi="Helvetica" w:cs="宋体"/>
          <w:color w:val="5F5F5F"/>
          <w:kern w:val="0"/>
          <w:sz w:val="20"/>
          <w:szCs w:val="20"/>
        </w:rPr>
        <w:t>和腹泻</w:t>
      </w:r>
      <w:r w:rsidRPr="00596C91">
        <w:rPr>
          <w:rFonts w:ascii="Helvetica" w:eastAsia="宋体" w:hAnsi="Helvetica" w:cs="宋体"/>
          <w:color w:val="5F5F5F"/>
          <w:kern w:val="0"/>
          <w:sz w:val="20"/>
          <w:szCs w:val="20"/>
        </w:rPr>
        <w:t xml:space="preserve"> </w:t>
      </w:r>
      <w:r w:rsidRPr="00596C91">
        <w:rPr>
          <w:rFonts w:ascii="Helvetica" w:eastAsia="宋体" w:hAnsi="Helvetica" w:cs="宋体"/>
          <w:color w:val="5F5F5F"/>
          <w:kern w:val="0"/>
          <w:sz w:val="20"/>
          <w:szCs w:val="20"/>
        </w:rPr>
        <w:t>（本品</w:t>
      </w:r>
      <w:r w:rsidRPr="00596C91">
        <w:rPr>
          <w:rFonts w:ascii="Helvetica" w:eastAsia="宋体" w:hAnsi="Helvetica" w:cs="宋体"/>
          <w:color w:val="5F5F5F"/>
          <w:kern w:val="0"/>
          <w:sz w:val="20"/>
          <w:szCs w:val="20"/>
        </w:rPr>
        <w:t>100 mg</w:t>
      </w:r>
      <w:r w:rsidRPr="00596C91">
        <w:rPr>
          <w:rFonts w:ascii="Helvetica" w:eastAsia="宋体" w:hAnsi="Helvetica" w:cs="宋体"/>
          <w:color w:val="5F5F5F"/>
          <w:kern w:val="0"/>
          <w:sz w:val="20"/>
          <w:szCs w:val="20"/>
        </w:rPr>
        <w:t>治疗组，</w:t>
      </w:r>
      <w:r w:rsidRPr="00596C91">
        <w:rPr>
          <w:rFonts w:ascii="Helvetica" w:eastAsia="宋体" w:hAnsi="Helvetica" w:cs="宋体"/>
          <w:color w:val="5F5F5F"/>
          <w:kern w:val="0"/>
          <w:sz w:val="20"/>
          <w:szCs w:val="20"/>
        </w:rPr>
        <w:t>3.O%</w:t>
      </w:r>
      <w:r w:rsidRPr="00596C91">
        <w:rPr>
          <w:rFonts w:ascii="Helvetica" w:eastAsia="宋体" w:hAnsi="Helvetica" w:cs="宋体"/>
          <w:color w:val="5F5F5F"/>
          <w:kern w:val="0"/>
          <w:sz w:val="20"/>
          <w:szCs w:val="20"/>
        </w:rPr>
        <w:t>；安慰剂治疗组，</w:t>
      </w:r>
      <w:r w:rsidRPr="00596C91">
        <w:rPr>
          <w:rFonts w:ascii="Helvetica" w:eastAsia="宋体" w:hAnsi="Helvetica" w:cs="宋体"/>
          <w:color w:val="5F5F5F"/>
          <w:kern w:val="0"/>
          <w:sz w:val="20"/>
          <w:szCs w:val="20"/>
        </w:rPr>
        <w:t>2.3%</w:t>
      </w:r>
      <w:r w:rsidRPr="00596C91">
        <w:rPr>
          <w:rFonts w:ascii="Helvetica" w:eastAsia="宋体" w:hAnsi="Helvetica" w:cs="宋体"/>
          <w:color w:val="5F5F5F"/>
          <w:kern w:val="0"/>
          <w:sz w:val="20"/>
          <w:szCs w:val="20"/>
        </w:rPr>
        <w:t>）</w:t>
      </w:r>
      <w:r w:rsidRPr="00596C91">
        <w:rPr>
          <w:rFonts w:ascii="Helvetica" w:eastAsia="宋体" w:hAnsi="Helvetica" w:cs="宋体"/>
          <w:color w:val="5F5F5F"/>
          <w:kern w:val="0"/>
          <w:sz w:val="20"/>
          <w:szCs w:val="20"/>
        </w:rPr>
        <w:t xml:space="preserve"> </w:t>
      </w:r>
      <w:r w:rsidRPr="00596C91">
        <w:rPr>
          <w:rFonts w:ascii="Helvetica" w:eastAsia="宋体" w:hAnsi="Helvetica" w:cs="宋体"/>
          <w:color w:val="5F5F5F"/>
          <w:kern w:val="0"/>
          <w:sz w:val="20"/>
          <w:szCs w:val="20"/>
        </w:rPr>
        <w:t>。</w:t>
      </w:r>
    </w:p>
    <w:p w:rsidR="00596C91" w:rsidRPr="00596C91" w:rsidRDefault="00596C91" w:rsidP="00596C91">
      <w:pPr>
        <w:widowControl/>
        <w:shd w:val="clear" w:color="auto" w:fill="FFFFFF"/>
        <w:spacing w:before="120" w:after="120" w:line="200" w:lineRule="exact"/>
        <w:ind w:left="720"/>
        <w:jc w:val="left"/>
        <w:rPr>
          <w:rFonts w:ascii="Helvetica" w:eastAsia="宋体" w:hAnsi="Helvetica" w:cs="宋体"/>
          <w:color w:val="5F5F5F"/>
          <w:kern w:val="0"/>
          <w:sz w:val="20"/>
          <w:szCs w:val="20"/>
        </w:rPr>
      </w:pPr>
      <w:r w:rsidRPr="00596C91">
        <w:rPr>
          <w:rFonts w:ascii="Helvetica" w:eastAsia="宋体" w:hAnsi="Helvetica" w:cs="宋体"/>
          <w:color w:val="5F5F5F"/>
          <w:kern w:val="0"/>
          <w:sz w:val="20"/>
          <w:szCs w:val="20"/>
        </w:rPr>
        <w:t>在另一项关于西格列汀和二甲双胍初始联合治疗的为期</w:t>
      </w:r>
      <w:r w:rsidRPr="00596C91">
        <w:rPr>
          <w:rFonts w:ascii="Helvetica" w:eastAsia="宋体" w:hAnsi="Helvetica" w:cs="宋体"/>
          <w:color w:val="5F5F5F"/>
          <w:kern w:val="0"/>
          <w:sz w:val="20"/>
          <w:szCs w:val="20"/>
        </w:rPr>
        <w:t>24</w:t>
      </w:r>
      <w:r w:rsidRPr="00596C91">
        <w:rPr>
          <w:rFonts w:ascii="Helvetica" w:eastAsia="宋体" w:hAnsi="Helvetica" w:cs="宋体"/>
          <w:color w:val="5F5F5F"/>
          <w:kern w:val="0"/>
          <w:sz w:val="20"/>
          <w:szCs w:val="20"/>
        </w:rPr>
        <w:t>周、安慰剂对照的析因研究中，发生率</w:t>
      </w:r>
      <w:r w:rsidRPr="00596C91">
        <w:rPr>
          <w:rFonts w:ascii="Helvetica" w:eastAsia="宋体" w:hAnsi="Helvetica" w:cs="宋体"/>
          <w:color w:val="5F5F5F"/>
          <w:kern w:val="0"/>
          <w:sz w:val="20"/>
          <w:szCs w:val="20"/>
        </w:rPr>
        <w:t>≥5%</w:t>
      </w:r>
      <w:r w:rsidRPr="00596C91">
        <w:rPr>
          <w:rFonts w:ascii="Helvetica" w:eastAsia="宋体" w:hAnsi="Helvetica" w:cs="宋体"/>
          <w:color w:val="5F5F5F"/>
          <w:kern w:val="0"/>
          <w:sz w:val="20"/>
          <w:szCs w:val="20"/>
        </w:rPr>
        <w:t>的不良反应</w:t>
      </w:r>
      <w:r w:rsidRPr="00596C91">
        <w:rPr>
          <w:rFonts w:ascii="Helvetica" w:eastAsia="宋体" w:hAnsi="Helvetica" w:cs="宋体"/>
          <w:color w:val="5F5F5F"/>
          <w:kern w:val="0"/>
          <w:sz w:val="20"/>
          <w:szCs w:val="20"/>
        </w:rPr>
        <w:t xml:space="preserve"> </w:t>
      </w:r>
      <w:r w:rsidRPr="00596C91">
        <w:rPr>
          <w:rFonts w:ascii="Helvetica" w:eastAsia="宋体" w:hAnsi="Helvetica" w:cs="宋体"/>
          <w:color w:val="5F5F5F"/>
          <w:kern w:val="0"/>
          <w:sz w:val="20"/>
          <w:szCs w:val="20"/>
        </w:rPr>
        <w:t>（不考虑研究者对因果关系的评估）</w:t>
      </w:r>
      <w:r w:rsidRPr="00596C91">
        <w:rPr>
          <w:rFonts w:ascii="Helvetica" w:eastAsia="宋体" w:hAnsi="Helvetica" w:cs="宋体"/>
          <w:color w:val="5F5F5F"/>
          <w:kern w:val="0"/>
          <w:sz w:val="20"/>
          <w:szCs w:val="20"/>
        </w:rPr>
        <w:t xml:space="preserve"> </w:t>
      </w:r>
      <w:r w:rsidRPr="00596C91">
        <w:rPr>
          <w:rFonts w:ascii="Helvetica" w:eastAsia="宋体" w:hAnsi="Helvetica" w:cs="宋体"/>
          <w:color w:val="5F5F5F"/>
          <w:kern w:val="0"/>
          <w:sz w:val="20"/>
          <w:szCs w:val="20"/>
        </w:rPr>
        <w:t>如表</w:t>
      </w:r>
      <w:r w:rsidRPr="00596C91">
        <w:rPr>
          <w:rFonts w:ascii="Helvetica" w:eastAsia="宋体" w:hAnsi="Helvetica" w:cs="宋体"/>
          <w:color w:val="5F5F5F"/>
          <w:kern w:val="0"/>
          <w:sz w:val="20"/>
          <w:szCs w:val="20"/>
        </w:rPr>
        <w:t>2</w:t>
      </w:r>
      <w:r w:rsidRPr="00596C91">
        <w:rPr>
          <w:rFonts w:ascii="Helvetica" w:eastAsia="宋体" w:hAnsi="Helvetica" w:cs="宋体"/>
          <w:color w:val="5F5F5F"/>
          <w:kern w:val="0"/>
          <w:sz w:val="20"/>
          <w:szCs w:val="20"/>
        </w:rPr>
        <w:t>所示。在接受安慰剂、西格列汀单药治疗、二甲双胍单药治疗和西格列汀加二甲双胍联合治疗的患者中，低血糖的发生率分别为</w:t>
      </w:r>
      <w:r w:rsidRPr="00596C91">
        <w:rPr>
          <w:rFonts w:ascii="Helvetica" w:eastAsia="宋体" w:hAnsi="Helvetica" w:cs="宋体"/>
          <w:color w:val="5F5F5F"/>
          <w:kern w:val="0"/>
          <w:sz w:val="20"/>
          <w:szCs w:val="20"/>
        </w:rPr>
        <w:t>0.6%</w:t>
      </w:r>
      <w:r w:rsidRPr="00596C91">
        <w:rPr>
          <w:rFonts w:ascii="Helvetica" w:eastAsia="宋体" w:hAnsi="Helvetica" w:cs="宋体"/>
          <w:color w:val="5F5F5F"/>
          <w:kern w:val="0"/>
          <w:sz w:val="20"/>
          <w:szCs w:val="20"/>
        </w:rPr>
        <w:t>、</w:t>
      </w:r>
      <w:r w:rsidRPr="00596C91">
        <w:rPr>
          <w:rFonts w:ascii="Helvetica" w:eastAsia="宋体" w:hAnsi="Helvetica" w:cs="宋体"/>
          <w:color w:val="5F5F5F"/>
          <w:kern w:val="0"/>
          <w:sz w:val="20"/>
          <w:szCs w:val="20"/>
        </w:rPr>
        <w:t>0.6%</w:t>
      </w:r>
      <w:r w:rsidRPr="00596C91">
        <w:rPr>
          <w:rFonts w:ascii="Helvetica" w:eastAsia="宋体" w:hAnsi="Helvetica" w:cs="宋体"/>
          <w:color w:val="5F5F5F"/>
          <w:kern w:val="0"/>
          <w:sz w:val="20"/>
          <w:szCs w:val="20"/>
        </w:rPr>
        <w:t>、</w:t>
      </w:r>
      <w:r w:rsidRPr="00596C91">
        <w:rPr>
          <w:rFonts w:ascii="Helvetica" w:eastAsia="宋体" w:hAnsi="Helvetica" w:cs="宋体"/>
          <w:color w:val="5F5F5F"/>
          <w:kern w:val="0"/>
          <w:sz w:val="20"/>
          <w:szCs w:val="20"/>
        </w:rPr>
        <w:t>0.8%</w:t>
      </w:r>
      <w:r w:rsidRPr="00596C91">
        <w:rPr>
          <w:rFonts w:ascii="Helvetica" w:eastAsia="宋体" w:hAnsi="Helvetica" w:cs="宋体"/>
          <w:color w:val="5F5F5F"/>
          <w:kern w:val="0"/>
          <w:sz w:val="20"/>
          <w:szCs w:val="20"/>
        </w:rPr>
        <w:t>和</w:t>
      </w:r>
      <w:r w:rsidRPr="00596C91">
        <w:rPr>
          <w:rFonts w:ascii="Helvetica" w:eastAsia="宋体" w:hAnsi="Helvetica" w:cs="宋体"/>
          <w:color w:val="5F5F5F"/>
          <w:kern w:val="0"/>
          <w:sz w:val="20"/>
          <w:szCs w:val="20"/>
        </w:rPr>
        <w:t>1.6%</w:t>
      </w:r>
      <w:r w:rsidRPr="00596C91">
        <w:rPr>
          <w:rFonts w:ascii="Helvetica" w:eastAsia="宋体" w:hAnsi="Helvetica" w:cs="宋体"/>
          <w:color w:val="5F5F5F"/>
          <w:kern w:val="0"/>
          <w:sz w:val="20"/>
          <w:szCs w:val="20"/>
        </w:rPr>
        <w:t>。</w:t>
      </w:r>
    </w:p>
    <w:p w:rsidR="00596C91" w:rsidRPr="00596C91" w:rsidRDefault="00596C91" w:rsidP="00596C91">
      <w:pPr>
        <w:widowControl/>
        <w:shd w:val="clear" w:color="auto" w:fill="FFFFFF"/>
        <w:spacing w:before="120" w:after="120" w:line="200" w:lineRule="exact"/>
        <w:ind w:left="720"/>
        <w:jc w:val="left"/>
        <w:rPr>
          <w:rFonts w:ascii="Helvetica" w:eastAsia="宋体" w:hAnsi="Helvetica" w:cs="宋体"/>
          <w:color w:val="5F5F5F"/>
          <w:kern w:val="0"/>
          <w:sz w:val="20"/>
          <w:szCs w:val="20"/>
        </w:rPr>
      </w:pPr>
      <w:r w:rsidRPr="00596C91">
        <w:rPr>
          <w:rFonts w:ascii="Helvetica" w:eastAsia="宋体" w:hAnsi="Helvetica" w:cs="宋体"/>
          <w:color w:val="5F5F5F"/>
          <w:kern w:val="0"/>
          <w:sz w:val="20"/>
          <w:szCs w:val="20"/>
        </w:rPr>
        <w:t>表</w:t>
      </w:r>
      <w:r w:rsidRPr="00596C91">
        <w:rPr>
          <w:rFonts w:ascii="Helvetica" w:eastAsia="宋体" w:hAnsi="Helvetica" w:cs="宋体"/>
          <w:color w:val="5F5F5F"/>
          <w:kern w:val="0"/>
          <w:sz w:val="20"/>
          <w:szCs w:val="20"/>
        </w:rPr>
        <w:t>2</w:t>
      </w:r>
    </w:p>
    <w:p w:rsidR="00596C91" w:rsidRPr="00596C91" w:rsidRDefault="00596C91" w:rsidP="00596C91">
      <w:pPr>
        <w:widowControl/>
        <w:shd w:val="clear" w:color="auto" w:fill="FFFFFF"/>
        <w:spacing w:before="120" w:after="120" w:line="200" w:lineRule="exact"/>
        <w:ind w:left="720"/>
        <w:jc w:val="left"/>
        <w:rPr>
          <w:rFonts w:ascii="Helvetica" w:eastAsia="宋体" w:hAnsi="Helvetica" w:cs="宋体"/>
          <w:color w:val="5F5F5F"/>
          <w:kern w:val="0"/>
          <w:sz w:val="20"/>
          <w:szCs w:val="20"/>
        </w:rPr>
      </w:pPr>
      <w:r>
        <w:rPr>
          <w:rFonts w:ascii="Helvetica" w:eastAsia="宋体" w:hAnsi="Helvetica" w:cs="宋体"/>
          <w:noProof/>
          <w:color w:val="5F5F5F"/>
          <w:kern w:val="0"/>
          <w:sz w:val="20"/>
          <w:szCs w:val="20"/>
        </w:rPr>
        <w:drawing>
          <wp:inline distT="0" distB="0" distL="0" distR="0">
            <wp:extent cx="1524000" cy="828675"/>
            <wp:effectExtent l="19050" t="0" r="0" b="0"/>
            <wp:docPr id="2" name="图片 2" descr="http://drugs.dxy.cn/image/2012/07/26/1343265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rugs.dxy.cn/image/2012/07/26/1343265742.jpg"/>
                    <pic:cNvPicPr>
                      <a:picLocks noChangeAspect="1" noChangeArrowheads="1"/>
                    </pic:cNvPicPr>
                  </pic:nvPicPr>
                  <pic:blipFill>
                    <a:blip r:embed="rId9" cstate="print"/>
                    <a:srcRect/>
                    <a:stretch>
                      <a:fillRect/>
                    </a:stretch>
                  </pic:blipFill>
                  <pic:spPr bwMode="auto">
                    <a:xfrm>
                      <a:off x="0" y="0"/>
                      <a:ext cx="1524000" cy="828675"/>
                    </a:xfrm>
                    <a:prstGeom prst="rect">
                      <a:avLst/>
                    </a:prstGeom>
                    <a:noFill/>
                    <a:ln w="9525">
                      <a:noFill/>
                      <a:miter lim="800000"/>
                      <a:headEnd/>
                      <a:tailEnd/>
                    </a:ln>
                  </pic:spPr>
                </pic:pic>
              </a:graphicData>
            </a:graphic>
          </wp:inline>
        </w:drawing>
      </w:r>
    </w:p>
    <w:p w:rsidR="00596C91" w:rsidRPr="00596C91" w:rsidRDefault="00596C91" w:rsidP="00596C91">
      <w:pPr>
        <w:widowControl/>
        <w:shd w:val="clear" w:color="auto" w:fill="FFFFFF"/>
        <w:spacing w:line="200" w:lineRule="exact"/>
        <w:ind w:left="720"/>
        <w:jc w:val="left"/>
        <w:rPr>
          <w:rFonts w:ascii="Helvetica" w:eastAsia="宋体" w:hAnsi="Helvetica" w:cs="宋体"/>
          <w:color w:val="5F5F5F"/>
          <w:kern w:val="0"/>
          <w:sz w:val="20"/>
          <w:szCs w:val="20"/>
        </w:rPr>
      </w:pPr>
      <w:r w:rsidRPr="00596C91">
        <w:rPr>
          <w:rFonts w:ascii="Helvetica" w:eastAsia="宋体" w:hAnsi="Helvetica" w:cs="宋体"/>
          <w:b/>
          <w:bCs/>
          <w:color w:val="5F5F5F"/>
          <w:kern w:val="0"/>
          <w:sz w:val="20"/>
        </w:rPr>
        <w:t>胰腺炎：</w:t>
      </w:r>
    </w:p>
    <w:p w:rsidR="00596C91" w:rsidRPr="00596C91" w:rsidRDefault="00596C91" w:rsidP="00596C91">
      <w:pPr>
        <w:widowControl/>
        <w:shd w:val="clear" w:color="auto" w:fill="FFFFFF"/>
        <w:spacing w:before="120" w:after="120" w:line="200" w:lineRule="exact"/>
        <w:ind w:left="720"/>
        <w:jc w:val="left"/>
        <w:rPr>
          <w:rFonts w:ascii="Helvetica" w:eastAsia="宋体" w:hAnsi="Helvetica" w:cs="宋体"/>
          <w:color w:val="5F5F5F"/>
          <w:kern w:val="0"/>
          <w:sz w:val="20"/>
          <w:szCs w:val="20"/>
        </w:rPr>
      </w:pPr>
      <w:r w:rsidRPr="00596C91">
        <w:rPr>
          <w:rFonts w:ascii="Helvetica" w:eastAsia="宋体" w:hAnsi="Helvetica" w:cs="宋体"/>
          <w:color w:val="5F5F5F"/>
          <w:kern w:val="0"/>
          <w:sz w:val="20"/>
          <w:szCs w:val="20"/>
        </w:rPr>
        <w:t>在对包含随机接受西格列汀</w:t>
      </w:r>
      <w:r w:rsidRPr="00596C91">
        <w:rPr>
          <w:rFonts w:ascii="Helvetica" w:eastAsia="宋体" w:hAnsi="Helvetica" w:cs="宋体"/>
          <w:color w:val="5F5F5F"/>
          <w:kern w:val="0"/>
          <w:sz w:val="20"/>
          <w:szCs w:val="20"/>
        </w:rPr>
        <w:t>100mg/</w:t>
      </w:r>
      <w:r w:rsidRPr="00596C91">
        <w:rPr>
          <w:rFonts w:ascii="Helvetica" w:eastAsia="宋体" w:hAnsi="Helvetica" w:cs="宋体"/>
          <w:color w:val="5F5F5F"/>
          <w:kern w:val="0"/>
          <w:sz w:val="20"/>
          <w:szCs w:val="20"/>
        </w:rPr>
        <w:t>天（</w:t>
      </w:r>
      <w:r w:rsidRPr="00596C91">
        <w:rPr>
          <w:rFonts w:ascii="Helvetica" w:eastAsia="宋体" w:hAnsi="Helvetica" w:cs="宋体"/>
          <w:color w:val="5F5F5F"/>
          <w:kern w:val="0"/>
          <w:sz w:val="20"/>
          <w:szCs w:val="20"/>
        </w:rPr>
        <w:t>N=5429</w:t>
      </w:r>
      <w:r w:rsidRPr="00596C91">
        <w:rPr>
          <w:rFonts w:ascii="Helvetica" w:eastAsia="宋体" w:hAnsi="Helvetica" w:cs="宋体"/>
          <w:color w:val="5F5F5F"/>
          <w:kern w:val="0"/>
          <w:sz w:val="20"/>
          <w:szCs w:val="20"/>
        </w:rPr>
        <w:t>）或相应的（活性或安慰剂）对照药（</w:t>
      </w:r>
      <w:r w:rsidRPr="00596C91">
        <w:rPr>
          <w:rFonts w:ascii="Helvetica" w:eastAsia="宋体" w:hAnsi="Helvetica" w:cs="宋体"/>
          <w:color w:val="5F5F5F"/>
          <w:kern w:val="0"/>
          <w:sz w:val="20"/>
          <w:szCs w:val="20"/>
        </w:rPr>
        <w:t>N=4817</w:t>
      </w:r>
      <w:r w:rsidRPr="00596C91">
        <w:rPr>
          <w:rFonts w:ascii="Helvetica" w:eastAsia="宋体" w:hAnsi="Helvetica" w:cs="宋体"/>
          <w:color w:val="5F5F5F"/>
          <w:kern w:val="0"/>
          <w:sz w:val="20"/>
          <w:szCs w:val="20"/>
        </w:rPr>
        <w:t>）的</w:t>
      </w:r>
      <w:r w:rsidRPr="00596C91">
        <w:rPr>
          <w:rFonts w:ascii="Helvetica" w:eastAsia="宋体" w:hAnsi="Helvetica" w:cs="宋体"/>
          <w:color w:val="5F5F5F"/>
          <w:kern w:val="0"/>
          <w:sz w:val="20"/>
          <w:szCs w:val="20"/>
        </w:rPr>
        <w:t>10246</w:t>
      </w:r>
      <w:r w:rsidRPr="00596C91">
        <w:rPr>
          <w:rFonts w:ascii="Helvetica" w:eastAsia="宋体" w:hAnsi="Helvetica" w:cs="宋体"/>
          <w:color w:val="5F5F5F"/>
          <w:kern w:val="0"/>
          <w:sz w:val="20"/>
          <w:szCs w:val="20"/>
        </w:rPr>
        <w:t>名患者的</w:t>
      </w:r>
      <w:r w:rsidRPr="00596C91">
        <w:rPr>
          <w:rFonts w:ascii="Helvetica" w:eastAsia="宋体" w:hAnsi="Helvetica" w:cs="宋体"/>
          <w:color w:val="5F5F5F"/>
          <w:kern w:val="0"/>
          <w:sz w:val="20"/>
          <w:szCs w:val="20"/>
        </w:rPr>
        <w:t>19</w:t>
      </w:r>
      <w:r w:rsidRPr="00596C91">
        <w:rPr>
          <w:rFonts w:ascii="Helvetica" w:eastAsia="宋体" w:hAnsi="Helvetica" w:cs="宋体"/>
          <w:color w:val="5F5F5F"/>
          <w:kern w:val="0"/>
          <w:sz w:val="20"/>
          <w:szCs w:val="20"/>
        </w:rPr>
        <w:t>项双盲临床试验进行的汇总分析中，各组患者的急性胰腺炎年发病率均是</w:t>
      </w:r>
      <w:r w:rsidRPr="00596C91">
        <w:rPr>
          <w:rFonts w:ascii="Helvetica" w:eastAsia="宋体" w:hAnsi="Helvetica" w:cs="宋体"/>
          <w:color w:val="5F5F5F"/>
          <w:kern w:val="0"/>
          <w:sz w:val="20"/>
          <w:szCs w:val="20"/>
        </w:rPr>
        <w:t>0.1</w:t>
      </w:r>
      <w:r w:rsidRPr="00596C91">
        <w:rPr>
          <w:rFonts w:ascii="Helvetica" w:eastAsia="宋体" w:hAnsi="Helvetica" w:cs="宋体"/>
          <w:color w:val="5F5F5F"/>
          <w:kern w:val="0"/>
          <w:sz w:val="20"/>
          <w:szCs w:val="20"/>
        </w:rPr>
        <w:t>人</w:t>
      </w:r>
      <w:r w:rsidRPr="00596C91">
        <w:rPr>
          <w:rFonts w:ascii="Helvetica" w:eastAsia="宋体" w:hAnsi="Helvetica" w:cs="宋体"/>
          <w:color w:val="5F5F5F"/>
          <w:kern w:val="0"/>
          <w:sz w:val="20"/>
          <w:szCs w:val="20"/>
        </w:rPr>
        <w:t>/100</w:t>
      </w:r>
      <w:r w:rsidRPr="00596C91">
        <w:rPr>
          <w:rFonts w:ascii="Helvetica" w:eastAsia="宋体" w:hAnsi="Helvetica" w:cs="宋体"/>
          <w:color w:val="5F5F5F"/>
          <w:kern w:val="0"/>
          <w:sz w:val="20"/>
          <w:szCs w:val="20"/>
        </w:rPr>
        <w:t>患者年（接受西格列汀的</w:t>
      </w:r>
      <w:r w:rsidRPr="00596C91">
        <w:rPr>
          <w:rFonts w:ascii="Helvetica" w:eastAsia="宋体" w:hAnsi="Helvetica" w:cs="宋体"/>
          <w:color w:val="5F5F5F"/>
          <w:kern w:val="0"/>
          <w:sz w:val="20"/>
          <w:szCs w:val="20"/>
        </w:rPr>
        <w:t>4708</w:t>
      </w:r>
      <w:r w:rsidRPr="00596C91">
        <w:rPr>
          <w:rFonts w:ascii="Helvetica" w:eastAsia="宋体" w:hAnsi="Helvetica" w:cs="宋体"/>
          <w:color w:val="5F5F5F"/>
          <w:kern w:val="0"/>
          <w:sz w:val="20"/>
          <w:szCs w:val="20"/>
        </w:rPr>
        <w:t>患者年中有</w:t>
      </w:r>
      <w:r w:rsidRPr="00596C91">
        <w:rPr>
          <w:rFonts w:ascii="Helvetica" w:eastAsia="宋体" w:hAnsi="Helvetica" w:cs="宋体"/>
          <w:color w:val="5F5F5F"/>
          <w:kern w:val="0"/>
          <w:sz w:val="20"/>
          <w:szCs w:val="20"/>
        </w:rPr>
        <w:t>4</w:t>
      </w:r>
      <w:r w:rsidRPr="00596C91">
        <w:rPr>
          <w:rFonts w:ascii="Helvetica" w:eastAsia="宋体" w:hAnsi="Helvetica" w:cs="宋体"/>
          <w:color w:val="5F5F5F"/>
          <w:kern w:val="0"/>
          <w:sz w:val="20"/>
          <w:szCs w:val="20"/>
        </w:rPr>
        <w:t>名患者发生一次事件，接受对照药的</w:t>
      </w:r>
      <w:r w:rsidRPr="00596C91">
        <w:rPr>
          <w:rFonts w:ascii="Helvetica" w:eastAsia="宋体" w:hAnsi="Helvetica" w:cs="宋体"/>
          <w:color w:val="5F5F5F"/>
          <w:kern w:val="0"/>
          <w:sz w:val="20"/>
          <w:szCs w:val="20"/>
        </w:rPr>
        <w:t>3942</w:t>
      </w:r>
      <w:r w:rsidRPr="00596C91">
        <w:rPr>
          <w:rFonts w:ascii="Helvetica" w:eastAsia="宋体" w:hAnsi="Helvetica" w:cs="宋体"/>
          <w:color w:val="5F5F5F"/>
          <w:kern w:val="0"/>
          <w:sz w:val="20"/>
          <w:szCs w:val="20"/>
        </w:rPr>
        <w:t>患者年中有</w:t>
      </w:r>
      <w:r w:rsidRPr="00596C91">
        <w:rPr>
          <w:rFonts w:ascii="Helvetica" w:eastAsia="宋体" w:hAnsi="Helvetica" w:cs="宋体"/>
          <w:color w:val="5F5F5F"/>
          <w:kern w:val="0"/>
          <w:sz w:val="20"/>
          <w:szCs w:val="20"/>
        </w:rPr>
        <w:t>4</w:t>
      </w:r>
      <w:r w:rsidRPr="00596C91">
        <w:rPr>
          <w:rFonts w:ascii="Helvetica" w:eastAsia="宋体" w:hAnsi="Helvetica" w:cs="宋体"/>
          <w:color w:val="5F5F5F"/>
          <w:kern w:val="0"/>
          <w:sz w:val="20"/>
          <w:szCs w:val="20"/>
        </w:rPr>
        <w:t>名患者发生一次事件）（参见注意事项，胰腺炎）。</w:t>
      </w:r>
    </w:p>
    <w:p w:rsidR="00596C91" w:rsidRPr="00596C91" w:rsidRDefault="00596C91" w:rsidP="00596C91">
      <w:pPr>
        <w:widowControl/>
        <w:shd w:val="clear" w:color="auto" w:fill="FFFFFF"/>
        <w:spacing w:before="120" w:after="120" w:line="200" w:lineRule="exact"/>
        <w:ind w:left="720"/>
        <w:jc w:val="left"/>
        <w:rPr>
          <w:rFonts w:ascii="Helvetica" w:eastAsia="宋体" w:hAnsi="Helvetica" w:cs="宋体"/>
          <w:color w:val="5F5F5F"/>
          <w:kern w:val="0"/>
          <w:sz w:val="20"/>
          <w:szCs w:val="20"/>
        </w:rPr>
      </w:pPr>
      <w:r w:rsidRPr="00596C91">
        <w:rPr>
          <w:rFonts w:ascii="Helvetica" w:eastAsia="宋体" w:hAnsi="Helvetica" w:cs="宋体"/>
          <w:color w:val="5F5F5F"/>
          <w:kern w:val="0"/>
          <w:sz w:val="20"/>
          <w:szCs w:val="20"/>
        </w:rPr>
        <w:t>在接受本品治疗的患者中，生命体征或心电图（包括</w:t>
      </w:r>
      <w:r w:rsidRPr="00596C91">
        <w:rPr>
          <w:rFonts w:ascii="Helvetica" w:eastAsia="宋体" w:hAnsi="Helvetica" w:cs="宋体"/>
          <w:color w:val="5F5F5F"/>
          <w:kern w:val="0"/>
          <w:sz w:val="20"/>
          <w:szCs w:val="20"/>
        </w:rPr>
        <w:t>QTc</w:t>
      </w:r>
      <w:r w:rsidRPr="00596C91">
        <w:rPr>
          <w:rFonts w:ascii="Helvetica" w:eastAsia="宋体" w:hAnsi="Helvetica" w:cs="宋体"/>
          <w:color w:val="5F5F5F"/>
          <w:kern w:val="0"/>
          <w:sz w:val="20"/>
          <w:szCs w:val="20"/>
        </w:rPr>
        <w:t>间期）参数没有发生有临床意义的变化。</w:t>
      </w:r>
    </w:p>
    <w:p w:rsidR="00596C91" w:rsidRPr="00596C91" w:rsidRDefault="00596C91" w:rsidP="00596C91">
      <w:pPr>
        <w:widowControl/>
        <w:shd w:val="clear" w:color="auto" w:fill="FFFFFF"/>
        <w:spacing w:line="200" w:lineRule="exact"/>
        <w:ind w:left="720"/>
        <w:jc w:val="left"/>
        <w:rPr>
          <w:rFonts w:ascii="Helvetica" w:eastAsia="宋体" w:hAnsi="Helvetica" w:cs="宋体"/>
          <w:color w:val="5F5F5F"/>
          <w:kern w:val="0"/>
          <w:sz w:val="20"/>
          <w:szCs w:val="20"/>
        </w:rPr>
      </w:pPr>
      <w:r w:rsidRPr="00596C91">
        <w:rPr>
          <w:rFonts w:ascii="Helvetica" w:eastAsia="宋体" w:hAnsi="Helvetica" w:cs="宋体"/>
          <w:b/>
          <w:bCs/>
          <w:color w:val="5F5F5F"/>
          <w:kern w:val="0"/>
          <w:sz w:val="20"/>
        </w:rPr>
        <w:t>实验室检查</w:t>
      </w:r>
    </w:p>
    <w:p w:rsidR="00596C91" w:rsidRPr="00596C91" w:rsidRDefault="00596C91" w:rsidP="00596C91">
      <w:pPr>
        <w:widowControl/>
        <w:shd w:val="clear" w:color="auto" w:fill="FFFFFF"/>
        <w:spacing w:before="120" w:after="120" w:line="200" w:lineRule="exact"/>
        <w:ind w:left="720"/>
        <w:jc w:val="left"/>
        <w:rPr>
          <w:rFonts w:ascii="Helvetica" w:eastAsia="宋体" w:hAnsi="Helvetica" w:cs="宋体"/>
          <w:color w:val="5F5F5F"/>
          <w:kern w:val="0"/>
          <w:sz w:val="20"/>
          <w:szCs w:val="20"/>
        </w:rPr>
      </w:pPr>
      <w:r w:rsidRPr="00596C91">
        <w:rPr>
          <w:rFonts w:ascii="Helvetica" w:eastAsia="宋体" w:hAnsi="Helvetica" w:cs="宋体"/>
          <w:color w:val="5F5F5F"/>
          <w:kern w:val="0"/>
          <w:sz w:val="20"/>
          <w:szCs w:val="20"/>
        </w:rPr>
        <w:t>在不同临床研究中，接受本品</w:t>
      </w:r>
      <w:r w:rsidRPr="00596C91">
        <w:rPr>
          <w:rFonts w:ascii="Helvetica" w:eastAsia="宋体" w:hAnsi="Helvetica" w:cs="宋体"/>
          <w:color w:val="5F5F5F"/>
          <w:kern w:val="0"/>
          <w:sz w:val="20"/>
          <w:szCs w:val="20"/>
        </w:rPr>
        <w:t>100 mg</w:t>
      </w:r>
      <w:r w:rsidRPr="00596C91">
        <w:rPr>
          <w:rFonts w:ascii="Helvetica" w:eastAsia="宋体" w:hAnsi="Helvetica" w:cs="宋体"/>
          <w:color w:val="5F5F5F"/>
          <w:kern w:val="0"/>
          <w:sz w:val="20"/>
          <w:szCs w:val="20"/>
        </w:rPr>
        <w:t>与安慰剂治疗的患者的实验室不良反应发生率相似。患者的白细胞计数（</w:t>
      </w:r>
      <w:r w:rsidRPr="00596C91">
        <w:rPr>
          <w:rFonts w:ascii="Helvetica" w:eastAsia="宋体" w:hAnsi="Helvetica" w:cs="宋体"/>
          <w:color w:val="5F5F5F"/>
          <w:kern w:val="0"/>
          <w:sz w:val="20"/>
          <w:szCs w:val="20"/>
        </w:rPr>
        <w:t>WBC</w:t>
      </w:r>
      <w:r w:rsidRPr="00596C91">
        <w:rPr>
          <w:rFonts w:ascii="Helvetica" w:eastAsia="宋体" w:hAnsi="Helvetica" w:cs="宋体"/>
          <w:color w:val="5F5F5F"/>
          <w:kern w:val="0"/>
          <w:sz w:val="20"/>
          <w:szCs w:val="20"/>
        </w:rPr>
        <w:t>）略有升高，原因是中性粒细胞计数升高。白细胞计数升高</w:t>
      </w:r>
      <w:r w:rsidRPr="00596C91">
        <w:rPr>
          <w:rFonts w:ascii="Helvetica" w:eastAsia="宋体" w:hAnsi="Helvetica" w:cs="宋体"/>
          <w:color w:val="5F5F5F"/>
          <w:kern w:val="0"/>
          <w:sz w:val="20"/>
          <w:szCs w:val="20"/>
        </w:rPr>
        <w:t xml:space="preserve"> </w:t>
      </w:r>
      <w:r w:rsidRPr="00596C91">
        <w:rPr>
          <w:rFonts w:ascii="Helvetica" w:eastAsia="宋体" w:hAnsi="Helvetica" w:cs="宋体"/>
          <w:color w:val="5F5F5F"/>
          <w:kern w:val="0"/>
          <w:sz w:val="20"/>
          <w:szCs w:val="20"/>
        </w:rPr>
        <w:t>（在</w:t>
      </w:r>
      <w:r w:rsidRPr="00596C91">
        <w:rPr>
          <w:rFonts w:ascii="Helvetica" w:eastAsia="宋体" w:hAnsi="Helvetica" w:cs="宋体"/>
          <w:color w:val="5F5F5F"/>
          <w:kern w:val="0"/>
          <w:sz w:val="20"/>
          <w:szCs w:val="20"/>
        </w:rPr>
        <w:t>4</w:t>
      </w:r>
      <w:r w:rsidRPr="00596C91">
        <w:rPr>
          <w:rFonts w:ascii="Helvetica" w:eastAsia="宋体" w:hAnsi="Helvetica" w:cs="宋体"/>
          <w:color w:val="5F5F5F"/>
          <w:kern w:val="0"/>
          <w:sz w:val="20"/>
          <w:szCs w:val="20"/>
        </w:rPr>
        <w:t>项安慰剂对照临床研究的汇总结果中，与安慰剂治疗组相比，升高约</w:t>
      </w:r>
      <w:r w:rsidRPr="00596C91">
        <w:rPr>
          <w:rFonts w:ascii="Helvetica" w:eastAsia="宋体" w:hAnsi="Helvetica" w:cs="宋体"/>
          <w:color w:val="5F5F5F"/>
          <w:kern w:val="0"/>
          <w:sz w:val="20"/>
          <w:szCs w:val="20"/>
        </w:rPr>
        <w:t>200/microL</w:t>
      </w:r>
      <w:r w:rsidRPr="00596C91">
        <w:rPr>
          <w:rFonts w:ascii="Helvetica" w:eastAsia="宋体" w:hAnsi="Helvetica" w:cs="宋体"/>
          <w:color w:val="5F5F5F"/>
          <w:kern w:val="0"/>
          <w:sz w:val="20"/>
          <w:szCs w:val="20"/>
        </w:rPr>
        <w:t>，患者的平均基线白细胞计数约为</w:t>
      </w:r>
      <w:r w:rsidRPr="00596C91">
        <w:rPr>
          <w:rFonts w:ascii="Helvetica" w:eastAsia="宋体" w:hAnsi="Helvetica" w:cs="宋体"/>
          <w:color w:val="5F5F5F"/>
          <w:kern w:val="0"/>
          <w:sz w:val="20"/>
          <w:szCs w:val="20"/>
        </w:rPr>
        <w:t>6600/microL</w:t>
      </w:r>
      <w:r w:rsidRPr="00596C91">
        <w:rPr>
          <w:rFonts w:ascii="Helvetica" w:eastAsia="宋体" w:hAnsi="Helvetica" w:cs="宋体"/>
          <w:color w:val="5F5F5F"/>
          <w:kern w:val="0"/>
          <w:sz w:val="20"/>
          <w:szCs w:val="20"/>
        </w:rPr>
        <w:t>）</w:t>
      </w:r>
      <w:r w:rsidRPr="00596C91">
        <w:rPr>
          <w:rFonts w:ascii="Helvetica" w:eastAsia="宋体" w:hAnsi="Helvetica" w:cs="宋体"/>
          <w:color w:val="5F5F5F"/>
          <w:kern w:val="0"/>
          <w:sz w:val="20"/>
          <w:szCs w:val="20"/>
        </w:rPr>
        <w:t xml:space="preserve"> </w:t>
      </w:r>
      <w:r w:rsidRPr="00596C91">
        <w:rPr>
          <w:rFonts w:ascii="Helvetica" w:eastAsia="宋体" w:hAnsi="Helvetica" w:cs="宋体"/>
          <w:color w:val="5F5F5F"/>
          <w:kern w:val="0"/>
          <w:sz w:val="20"/>
          <w:szCs w:val="20"/>
        </w:rPr>
        <w:t>无临床意义。在一项</w:t>
      </w:r>
      <w:r w:rsidRPr="00596C91">
        <w:rPr>
          <w:rFonts w:ascii="Helvetica" w:eastAsia="宋体" w:hAnsi="Helvetica" w:cs="宋体"/>
          <w:color w:val="5F5F5F"/>
          <w:kern w:val="0"/>
          <w:sz w:val="20"/>
          <w:szCs w:val="20"/>
        </w:rPr>
        <w:t>91</w:t>
      </w:r>
      <w:r w:rsidRPr="00596C91">
        <w:rPr>
          <w:rFonts w:ascii="Helvetica" w:eastAsia="宋体" w:hAnsi="Helvetica" w:cs="宋体"/>
          <w:color w:val="5F5F5F"/>
          <w:kern w:val="0"/>
          <w:sz w:val="20"/>
          <w:szCs w:val="20"/>
        </w:rPr>
        <w:t>名慢性肾功能不全患者参加的为期</w:t>
      </w:r>
      <w:r w:rsidRPr="00596C91">
        <w:rPr>
          <w:rFonts w:ascii="Helvetica" w:eastAsia="宋体" w:hAnsi="Helvetica" w:cs="宋体"/>
          <w:color w:val="5F5F5F"/>
          <w:kern w:val="0"/>
          <w:sz w:val="20"/>
          <w:szCs w:val="20"/>
        </w:rPr>
        <w:t>12</w:t>
      </w:r>
      <w:r w:rsidRPr="00596C91">
        <w:rPr>
          <w:rFonts w:ascii="Helvetica" w:eastAsia="宋体" w:hAnsi="Helvetica" w:cs="宋体"/>
          <w:color w:val="5F5F5F"/>
          <w:kern w:val="0"/>
          <w:sz w:val="20"/>
          <w:szCs w:val="20"/>
        </w:rPr>
        <w:t>周的研究中，</w:t>
      </w:r>
      <w:r w:rsidRPr="00596C91">
        <w:rPr>
          <w:rFonts w:ascii="Helvetica" w:eastAsia="宋体" w:hAnsi="Helvetica" w:cs="宋体"/>
          <w:color w:val="5F5F5F"/>
          <w:kern w:val="0"/>
          <w:sz w:val="20"/>
          <w:szCs w:val="20"/>
        </w:rPr>
        <w:t>37</w:t>
      </w:r>
      <w:r w:rsidRPr="00596C91">
        <w:rPr>
          <w:rFonts w:ascii="Helvetica" w:eastAsia="宋体" w:hAnsi="Helvetica" w:cs="宋体"/>
          <w:color w:val="5F5F5F"/>
          <w:kern w:val="0"/>
          <w:sz w:val="20"/>
          <w:szCs w:val="20"/>
        </w:rPr>
        <w:t>名中度肾功能不全患者被随机分入西格列汀</w:t>
      </w:r>
      <w:r w:rsidRPr="00596C91">
        <w:rPr>
          <w:rFonts w:ascii="Helvetica" w:eastAsia="宋体" w:hAnsi="Helvetica" w:cs="宋体"/>
          <w:color w:val="5F5F5F"/>
          <w:kern w:val="0"/>
          <w:sz w:val="20"/>
          <w:szCs w:val="20"/>
        </w:rPr>
        <w:t>50 mg</w:t>
      </w:r>
      <w:r w:rsidRPr="00596C91">
        <w:rPr>
          <w:rFonts w:ascii="Helvetica" w:eastAsia="宋体" w:hAnsi="Helvetica" w:cs="宋体"/>
          <w:color w:val="5F5F5F"/>
          <w:kern w:val="0"/>
          <w:sz w:val="20"/>
          <w:szCs w:val="20"/>
        </w:rPr>
        <w:t>，每日一次治疗组，而</w:t>
      </w:r>
      <w:r w:rsidRPr="00596C91">
        <w:rPr>
          <w:rFonts w:ascii="Helvetica" w:eastAsia="宋体" w:hAnsi="Helvetica" w:cs="宋体"/>
          <w:color w:val="5F5F5F"/>
          <w:kern w:val="0"/>
          <w:sz w:val="20"/>
          <w:szCs w:val="20"/>
        </w:rPr>
        <w:t>14</w:t>
      </w:r>
      <w:r w:rsidRPr="00596C91">
        <w:rPr>
          <w:rFonts w:ascii="Helvetica" w:eastAsia="宋体" w:hAnsi="Helvetica" w:cs="宋体"/>
          <w:color w:val="5F5F5F"/>
          <w:kern w:val="0"/>
          <w:sz w:val="20"/>
          <w:szCs w:val="20"/>
        </w:rPr>
        <w:t>名中度肾功能不全患者被随机分入安慰剂治疗组。血清肌酐水平升高的均数</w:t>
      </w:r>
      <w:r w:rsidRPr="00596C91">
        <w:rPr>
          <w:rFonts w:ascii="Helvetica" w:eastAsia="宋体" w:hAnsi="Helvetica" w:cs="宋体"/>
          <w:color w:val="5F5F5F"/>
          <w:kern w:val="0"/>
          <w:sz w:val="20"/>
          <w:szCs w:val="20"/>
        </w:rPr>
        <w:t xml:space="preserve"> </w:t>
      </w:r>
      <w:r w:rsidRPr="00596C91">
        <w:rPr>
          <w:rFonts w:ascii="Helvetica" w:eastAsia="宋体" w:hAnsi="Helvetica" w:cs="宋体"/>
          <w:color w:val="5F5F5F"/>
          <w:kern w:val="0"/>
          <w:sz w:val="20"/>
          <w:szCs w:val="20"/>
        </w:rPr>
        <w:t>（标准误）</w:t>
      </w:r>
      <w:r w:rsidRPr="00596C91">
        <w:rPr>
          <w:rFonts w:ascii="Helvetica" w:eastAsia="宋体" w:hAnsi="Helvetica" w:cs="宋体"/>
          <w:color w:val="5F5F5F"/>
          <w:kern w:val="0"/>
          <w:sz w:val="20"/>
          <w:szCs w:val="20"/>
        </w:rPr>
        <w:t xml:space="preserve"> </w:t>
      </w:r>
      <w:r w:rsidRPr="00596C91">
        <w:rPr>
          <w:rFonts w:ascii="Helvetica" w:eastAsia="宋体" w:hAnsi="Helvetica" w:cs="宋体"/>
          <w:color w:val="5F5F5F"/>
          <w:kern w:val="0"/>
          <w:sz w:val="20"/>
          <w:szCs w:val="20"/>
        </w:rPr>
        <w:t>分别为西格列汀组</w:t>
      </w:r>
      <w:r w:rsidRPr="00596C91">
        <w:rPr>
          <w:rFonts w:ascii="Helvetica" w:eastAsia="宋体" w:hAnsi="Helvetica" w:cs="宋体"/>
          <w:color w:val="5F5F5F"/>
          <w:kern w:val="0"/>
          <w:sz w:val="20"/>
          <w:szCs w:val="20"/>
        </w:rPr>
        <w:t xml:space="preserve">[0.12 mg/dL </w:t>
      </w:r>
      <w:r w:rsidRPr="00596C91">
        <w:rPr>
          <w:rFonts w:ascii="Helvetica" w:eastAsia="宋体" w:hAnsi="Helvetica" w:cs="宋体"/>
          <w:color w:val="5F5F5F"/>
          <w:kern w:val="0"/>
          <w:sz w:val="20"/>
          <w:szCs w:val="20"/>
        </w:rPr>
        <w:t>（</w:t>
      </w:r>
      <w:r w:rsidRPr="00596C91">
        <w:rPr>
          <w:rFonts w:ascii="Helvetica" w:eastAsia="宋体" w:hAnsi="Helvetica" w:cs="宋体"/>
          <w:color w:val="5F5F5F"/>
          <w:kern w:val="0"/>
          <w:sz w:val="20"/>
          <w:szCs w:val="20"/>
        </w:rPr>
        <w:t>0.04</w:t>
      </w:r>
      <w:r w:rsidRPr="00596C91">
        <w:rPr>
          <w:rFonts w:ascii="Helvetica" w:eastAsia="宋体" w:hAnsi="Helvetica" w:cs="宋体"/>
          <w:color w:val="5F5F5F"/>
          <w:kern w:val="0"/>
          <w:sz w:val="20"/>
          <w:szCs w:val="20"/>
        </w:rPr>
        <w:t>）</w:t>
      </w:r>
      <w:r w:rsidRPr="00596C91">
        <w:rPr>
          <w:rFonts w:ascii="Helvetica" w:eastAsia="宋体" w:hAnsi="Helvetica" w:cs="宋体"/>
          <w:color w:val="5F5F5F"/>
          <w:kern w:val="0"/>
          <w:sz w:val="20"/>
          <w:szCs w:val="20"/>
        </w:rPr>
        <w:t>]</w:t>
      </w:r>
      <w:r w:rsidRPr="00596C91">
        <w:rPr>
          <w:rFonts w:ascii="Helvetica" w:eastAsia="宋体" w:hAnsi="Helvetica" w:cs="宋体"/>
          <w:color w:val="5F5F5F"/>
          <w:kern w:val="0"/>
          <w:sz w:val="20"/>
          <w:szCs w:val="20"/>
        </w:rPr>
        <w:t>和安慰剂组</w:t>
      </w:r>
      <w:r w:rsidRPr="00596C91">
        <w:rPr>
          <w:rFonts w:ascii="Helvetica" w:eastAsia="宋体" w:hAnsi="Helvetica" w:cs="宋体"/>
          <w:color w:val="5F5F5F"/>
          <w:kern w:val="0"/>
          <w:sz w:val="20"/>
          <w:szCs w:val="20"/>
        </w:rPr>
        <w:t xml:space="preserve">[0.07 mg/dL </w:t>
      </w:r>
      <w:r w:rsidRPr="00596C91">
        <w:rPr>
          <w:rFonts w:ascii="Helvetica" w:eastAsia="宋体" w:hAnsi="Helvetica" w:cs="宋体"/>
          <w:color w:val="5F5F5F"/>
          <w:kern w:val="0"/>
          <w:sz w:val="20"/>
          <w:szCs w:val="20"/>
        </w:rPr>
        <w:t>（</w:t>
      </w:r>
      <w:r w:rsidRPr="00596C91">
        <w:rPr>
          <w:rFonts w:ascii="Helvetica" w:eastAsia="宋体" w:hAnsi="Helvetica" w:cs="宋体"/>
          <w:color w:val="5F5F5F"/>
          <w:kern w:val="0"/>
          <w:sz w:val="20"/>
          <w:szCs w:val="20"/>
        </w:rPr>
        <w:t>0.07</w:t>
      </w:r>
      <w:r w:rsidRPr="00596C91">
        <w:rPr>
          <w:rFonts w:ascii="Helvetica" w:eastAsia="宋体" w:hAnsi="Helvetica" w:cs="宋体"/>
          <w:color w:val="5F5F5F"/>
          <w:kern w:val="0"/>
          <w:sz w:val="20"/>
          <w:szCs w:val="20"/>
        </w:rPr>
        <w:t>）</w:t>
      </w:r>
      <w:r w:rsidRPr="00596C91">
        <w:rPr>
          <w:rFonts w:ascii="Helvetica" w:eastAsia="宋体" w:hAnsi="Helvetica" w:cs="宋体"/>
          <w:color w:val="5F5F5F"/>
          <w:kern w:val="0"/>
          <w:sz w:val="20"/>
          <w:szCs w:val="20"/>
        </w:rPr>
        <w:t>]</w:t>
      </w:r>
      <w:r w:rsidRPr="00596C91">
        <w:rPr>
          <w:rFonts w:ascii="Helvetica" w:eastAsia="宋体" w:hAnsi="Helvetica" w:cs="宋体"/>
          <w:color w:val="5F5F5F"/>
          <w:kern w:val="0"/>
          <w:sz w:val="20"/>
          <w:szCs w:val="20"/>
        </w:rPr>
        <w:t>。与安慰剂治疗组相比，西格列汀治疗组的血清肌酐水平升高的临床意义未知。</w:t>
      </w:r>
    </w:p>
    <w:p w:rsidR="00596C91" w:rsidRPr="00596C91" w:rsidRDefault="00596C91" w:rsidP="00596C91">
      <w:pPr>
        <w:widowControl/>
        <w:shd w:val="clear" w:color="auto" w:fill="FFFFFF"/>
        <w:spacing w:line="200" w:lineRule="exact"/>
        <w:ind w:left="720"/>
        <w:jc w:val="left"/>
        <w:rPr>
          <w:rFonts w:ascii="Helvetica" w:eastAsia="宋体" w:hAnsi="Helvetica" w:cs="宋体"/>
          <w:color w:val="5F5F5F"/>
          <w:kern w:val="0"/>
          <w:sz w:val="20"/>
          <w:szCs w:val="20"/>
        </w:rPr>
      </w:pPr>
      <w:r w:rsidRPr="00596C91">
        <w:rPr>
          <w:rFonts w:ascii="Helvetica" w:eastAsia="宋体" w:hAnsi="Helvetica" w:cs="宋体"/>
          <w:b/>
          <w:bCs/>
          <w:color w:val="5F5F5F"/>
          <w:kern w:val="0"/>
          <w:sz w:val="20"/>
        </w:rPr>
        <w:t>上市后经验</w:t>
      </w:r>
    </w:p>
    <w:p w:rsidR="00596C91" w:rsidRPr="00596C91" w:rsidRDefault="00596C91" w:rsidP="00596C91">
      <w:pPr>
        <w:widowControl/>
        <w:shd w:val="clear" w:color="auto" w:fill="FFFFFF"/>
        <w:spacing w:before="120" w:after="120" w:line="200" w:lineRule="exact"/>
        <w:ind w:left="720"/>
        <w:jc w:val="left"/>
        <w:rPr>
          <w:rFonts w:ascii="Helvetica" w:eastAsia="宋体" w:hAnsi="Helvetica" w:cs="宋体"/>
          <w:color w:val="5F5F5F"/>
          <w:kern w:val="0"/>
          <w:sz w:val="20"/>
          <w:szCs w:val="20"/>
        </w:rPr>
      </w:pPr>
      <w:r w:rsidRPr="00596C91">
        <w:rPr>
          <w:rFonts w:ascii="Helvetica" w:eastAsia="宋体" w:hAnsi="Helvetica" w:cs="宋体"/>
          <w:color w:val="5F5F5F"/>
          <w:kern w:val="0"/>
          <w:sz w:val="20"/>
          <w:szCs w:val="20"/>
        </w:rPr>
        <w:t>在本品的上市后使用过程中发现了以下不良反应。由于这些不良反应来自人数不定的人群自发性报告，因此通常无法可靠估计这些不良反应的发生率或确定不良反应与药物暴露之间的因果关系。</w:t>
      </w:r>
    </w:p>
    <w:p w:rsidR="00596C91" w:rsidRPr="00596C91" w:rsidRDefault="00596C91" w:rsidP="00596C91">
      <w:pPr>
        <w:widowControl/>
        <w:shd w:val="clear" w:color="auto" w:fill="FFFFFF"/>
        <w:spacing w:line="200" w:lineRule="exact"/>
        <w:ind w:left="720"/>
        <w:jc w:val="left"/>
        <w:rPr>
          <w:rFonts w:ascii="Helvetica" w:eastAsia="宋体" w:hAnsi="Helvetica" w:cs="宋体"/>
          <w:color w:val="5F5F5F"/>
          <w:kern w:val="0"/>
          <w:sz w:val="20"/>
          <w:szCs w:val="20"/>
        </w:rPr>
      </w:pPr>
      <w:r w:rsidRPr="00596C91">
        <w:rPr>
          <w:rFonts w:ascii="Helvetica" w:eastAsia="宋体" w:hAnsi="Helvetica" w:cs="宋体"/>
          <w:color w:val="5F5F5F"/>
          <w:kern w:val="0"/>
          <w:sz w:val="20"/>
          <w:szCs w:val="20"/>
        </w:rPr>
        <w:t>超敏反应，包括过敏反应、血管性水肿、皮疹、荨麻疹、皮肤血管炎以及剥脱性皮肤损害，包括</w:t>
      </w:r>
      <w:r w:rsidRPr="00596C91">
        <w:rPr>
          <w:rFonts w:ascii="Helvetica" w:eastAsia="宋体" w:hAnsi="Helvetica" w:cs="宋体"/>
          <w:color w:val="5F5F5F"/>
          <w:kern w:val="0"/>
          <w:sz w:val="20"/>
          <w:szCs w:val="20"/>
        </w:rPr>
        <w:t>Stevens-Johnson</w:t>
      </w:r>
      <w:r w:rsidRPr="00596C91">
        <w:rPr>
          <w:rFonts w:ascii="Helvetica" w:eastAsia="宋体" w:hAnsi="Helvetica" w:cs="宋体"/>
          <w:color w:val="5F5F5F"/>
          <w:kern w:val="0"/>
          <w:sz w:val="20"/>
          <w:szCs w:val="20"/>
        </w:rPr>
        <w:t>综合征</w:t>
      </w:r>
      <w:r w:rsidRPr="00596C91">
        <w:rPr>
          <w:rFonts w:ascii="Helvetica" w:eastAsia="宋体" w:hAnsi="Helvetica" w:cs="宋体"/>
          <w:color w:val="5F5F5F"/>
          <w:kern w:val="0"/>
          <w:sz w:val="20"/>
          <w:szCs w:val="20"/>
        </w:rPr>
        <w:t>[</w:t>
      </w:r>
      <w:r w:rsidRPr="00596C91">
        <w:rPr>
          <w:rFonts w:ascii="Helvetica" w:eastAsia="宋体" w:hAnsi="Helvetica" w:cs="宋体"/>
          <w:color w:val="5F5F5F"/>
          <w:kern w:val="0"/>
          <w:sz w:val="20"/>
          <w:szCs w:val="20"/>
        </w:rPr>
        <w:t>参见禁忌和注意事项</w:t>
      </w:r>
      <w:r w:rsidRPr="00596C91">
        <w:rPr>
          <w:rFonts w:ascii="Helvetica" w:eastAsia="宋体" w:hAnsi="Helvetica" w:cs="宋体"/>
          <w:color w:val="5F5F5F"/>
          <w:kern w:val="0"/>
          <w:sz w:val="20"/>
          <w:szCs w:val="20"/>
        </w:rPr>
        <w:t>]</w:t>
      </w:r>
      <w:r w:rsidRPr="00596C91">
        <w:rPr>
          <w:rFonts w:ascii="Helvetica" w:eastAsia="宋体" w:hAnsi="Helvetica" w:cs="宋体"/>
          <w:color w:val="5F5F5F"/>
          <w:kern w:val="0"/>
          <w:sz w:val="20"/>
          <w:szCs w:val="20"/>
        </w:rPr>
        <w:t>；急性胰腺炎，包括致命和非致命的出血性或坏死性胰腺炎（参见注意事项，胰腺炎）、肝酶升高、胰腺炎、肾脏功能减退、包括急性肾功能衰竭（有时需要透析）、上呼吸道感染、鼻咽炎、便秘、呕吐、头痛、关节痛、肌肉痛、四肢痛、背痛。</w:t>
      </w:r>
    </w:p>
    <w:p w:rsidR="00596C91" w:rsidRPr="00596C91" w:rsidRDefault="00596C91" w:rsidP="00596C91">
      <w:pPr>
        <w:widowControl/>
        <w:pBdr>
          <w:top w:val="single" w:sz="6" w:space="10" w:color="E3E3E3"/>
        </w:pBdr>
        <w:shd w:val="clear" w:color="auto" w:fill="FFFFFF"/>
        <w:spacing w:line="200" w:lineRule="exact"/>
        <w:jc w:val="left"/>
        <w:rPr>
          <w:rFonts w:ascii="Helvetica" w:eastAsia="宋体" w:hAnsi="Helvetica" w:cs="宋体"/>
          <w:b/>
          <w:bCs/>
          <w:color w:val="545454"/>
          <w:kern w:val="0"/>
          <w:sz w:val="21"/>
          <w:szCs w:val="21"/>
        </w:rPr>
      </w:pPr>
      <w:r w:rsidRPr="00596C91">
        <w:rPr>
          <w:rFonts w:ascii="Helvetica" w:eastAsia="宋体" w:hAnsi="Helvetica" w:cs="宋体"/>
          <w:b/>
          <w:bCs/>
          <w:color w:val="545454"/>
          <w:kern w:val="0"/>
          <w:sz w:val="21"/>
        </w:rPr>
        <w:t>禁忌</w:t>
      </w:r>
      <w:r w:rsidRPr="00596C91">
        <w:rPr>
          <w:rFonts w:ascii="Helvetica" w:eastAsia="宋体" w:hAnsi="Helvetica" w:cs="宋体"/>
          <w:b/>
          <w:bCs/>
          <w:color w:val="545454"/>
          <w:kern w:val="0"/>
          <w:sz w:val="21"/>
        </w:rPr>
        <w:t>:</w:t>
      </w:r>
    </w:p>
    <w:p w:rsidR="00596C91" w:rsidRPr="00596C91" w:rsidRDefault="00596C91" w:rsidP="00596C91">
      <w:pPr>
        <w:widowControl/>
        <w:shd w:val="clear" w:color="auto" w:fill="FFFFFF"/>
        <w:spacing w:after="375" w:line="200" w:lineRule="exact"/>
        <w:ind w:left="720"/>
        <w:jc w:val="left"/>
        <w:rPr>
          <w:rFonts w:ascii="Helvetica" w:eastAsia="宋体" w:hAnsi="Helvetica" w:cs="宋体"/>
          <w:color w:val="5F5F5F"/>
          <w:kern w:val="0"/>
          <w:sz w:val="20"/>
          <w:szCs w:val="20"/>
        </w:rPr>
      </w:pPr>
      <w:r w:rsidRPr="00596C91">
        <w:rPr>
          <w:rFonts w:ascii="Helvetica" w:eastAsia="宋体" w:hAnsi="Helvetica" w:cs="宋体"/>
          <w:color w:val="5F5F5F"/>
          <w:kern w:val="0"/>
          <w:sz w:val="20"/>
          <w:szCs w:val="20"/>
        </w:rPr>
        <w:t>对本品中任何成份过敏者禁用。（参见注意事项，超敏反应口不良反应，上市后经验。）</w:t>
      </w:r>
    </w:p>
    <w:p w:rsidR="00596C91" w:rsidRPr="00596C91" w:rsidRDefault="00596C91" w:rsidP="00596C91">
      <w:pPr>
        <w:widowControl/>
        <w:pBdr>
          <w:top w:val="single" w:sz="6" w:space="10" w:color="E3E3E3"/>
        </w:pBdr>
        <w:shd w:val="clear" w:color="auto" w:fill="FFFFFF"/>
        <w:spacing w:line="200" w:lineRule="exact"/>
        <w:jc w:val="left"/>
        <w:rPr>
          <w:rFonts w:ascii="Helvetica" w:eastAsia="宋体" w:hAnsi="Helvetica" w:cs="宋体"/>
          <w:b/>
          <w:bCs/>
          <w:color w:val="545454"/>
          <w:kern w:val="0"/>
          <w:sz w:val="21"/>
          <w:szCs w:val="21"/>
        </w:rPr>
      </w:pPr>
      <w:r w:rsidRPr="00596C91">
        <w:rPr>
          <w:rFonts w:ascii="Helvetica" w:eastAsia="宋体" w:hAnsi="Helvetica" w:cs="宋体"/>
          <w:b/>
          <w:bCs/>
          <w:color w:val="545454"/>
          <w:kern w:val="0"/>
          <w:sz w:val="21"/>
        </w:rPr>
        <w:t>注意事项</w:t>
      </w:r>
      <w:r w:rsidRPr="00596C91">
        <w:rPr>
          <w:rFonts w:ascii="Helvetica" w:eastAsia="宋体" w:hAnsi="Helvetica" w:cs="宋体"/>
          <w:b/>
          <w:bCs/>
          <w:color w:val="545454"/>
          <w:kern w:val="0"/>
          <w:sz w:val="21"/>
        </w:rPr>
        <w:t>:</w:t>
      </w:r>
    </w:p>
    <w:p w:rsidR="00596C91" w:rsidRPr="00596C91" w:rsidRDefault="00596C91" w:rsidP="00596C91">
      <w:pPr>
        <w:widowControl/>
        <w:shd w:val="clear" w:color="auto" w:fill="FFFFFF"/>
        <w:spacing w:before="120" w:after="120" w:line="200" w:lineRule="exact"/>
        <w:ind w:left="720"/>
        <w:jc w:val="left"/>
        <w:rPr>
          <w:rFonts w:ascii="Helvetica" w:eastAsia="宋体" w:hAnsi="Helvetica" w:cs="宋体"/>
          <w:color w:val="5F5F5F"/>
          <w:kern w:val="0"/>
          <w:sz w:val="20"/>
          <w:szCs w:val="20"/>
        </w:rPr>
      </w:pPr>
      <w:r w:rsidRPr="00596C91">
        <w:rPr>
          <w:rFonts w:ascii="Helvetica" w:eastAsia="宋体" w:hAnsi="Helvetica" w:cs="宋体"/>
          <w:color w:val="5F5F5F"/>
          <w:kern w:val="0"/>
          <w:sz w:val="20"/>
          <w:szCs w:val="20"/>
        </w:rPr>
        <w:t>概述</w:t>
      </w:r>
    </w:p>
    <w:p w:rsidR="00596C91" w:rsidRPr="00596C91" w:rsidRDefault="00596C91" w:rsidP="00596C91">
      <w:pPr>
        <w:widowControl/>
        <w:shd w:val="clear" w:color="auto" w:fill="FFFFFF"/>
        <w:spacing w:before="120" w:after="120" w:line="200" w:lineRule="exact"/>
        <w:ind w:left="720"/>
        <w:jc w:val="left"/>
        <w:rPr>
          <w:rFonts w:ascii="Helvetica" w:eastAsia="宋体" w:hAnsi="Helvetica" w:cs="宋体"/>
          <w:color w:val="5F5F5F"/>
          <w:kern w:val="0"/>
          <w:sz w:val="20"/>
          <w:szCs w:val="20"/>
        </w:rPr>
      </w:pPr>
      <w:r w:rsidRPr="00596C91">
        <w:rPr>
          <w:rFonts w:ascii="Helvetica" w:eastAsia="宋体" w:hAnsi="Helvetica" w:cs="宋体"/>
          <w:color w:val="5F5F5F"/>
          <w:kern w:val="0"/>
          <w:sz w:val="20"/>
          <w:szCs w:val="20"/>
        </w:rPr>
        <w:t>本品不得用于</w:t>
      </w:r>
      <w:r w:rsidRPr="00596C91">
        <w:rPr>
          <w:rFonts w:ascii="Helvetica" w:eastAsia="宋体" w:hAnsi="Helvetica" w:cs="宋体"/>
          <w:color w:val="5F5F5F"/>
          <w:kern w:val="0"/>
          <w:sz w:val="20"/>
          <w:szCs w:val="20"/>
        </w:rPr>
        <w:t>1</w:t>
      </w:r>
      <w:r w:rsidRPr="00596C91">
        <w:rPr>
          <w:rFonts w:ascii="Helvetica" w:eastAsia="宋体" w:hAnsi="Helvetica" w:cs="宋体"/>
          <w:color w:val="5F5F5F"/>
          <w:kern w:val="0"/>
          <w:sz w:val="20"/>
          <w:szCs w:val="20"/>
        </w:rPr>
        <w:t>型糖尿病患者或治疗糖尿病酮症酸中毒。</w:t>
      </w:r>
    </w:p>
    <w:p w:rsidR="00596C91" w:rsidRPr="00596C91" w:rsidRDefault="00596C91" w:rsidP="00596C91">
      <w:pPr>
        <w:widowControl/>
        <w:shd w:val="clear" w:color="auto" w:fill="FFFFFF"/>
        <w:spacing w:line="200" w:lineRule="exact"/>
        <w:ind w:left="720"/>
        <w:jc w:val="left"/>
        <w:rPr>
          <w:rFonts w:ascii="Helvetica" w:eastAsia="宋体" w:hAnsi="Helvetica" w:cs="宋体"/>
          <w:color w:val="5F5F5F"/>
          <w:kern w:val="0"/>
          <w:sz w:val="20"/>
          <w:szCs w:val="20"/>
        </w:rPr>
      </w:pPr>
      <w:r w:rsidRPr="00596C91">
        <w:rPr>
          <w:rFonts w:ascii="Helvetica" w:eastAsia="宋体" w:hAnsi="Helvetica" w:cs="宋体"/>
          <w:b/>
          <w:bCs/>
          <w:color w:val="5F5F5F"/>
          <w:kern w:val="0"/>
          <w:sz w:val="20"/>
        </w:rPr>
        <w:t>胰腺炎：</w:t>
      </w:r>
    </w:p>
    <w:p w:rsidR="00596C91" w:rsidRPr="00596C91" w:rsidRDefault="00596C91" w:rsidP="00596C91">
      <w:pPr>
        <w:widowControl/>
        <w:shd w:val="clear" w:color="auto" w:fill="FFFFFF"/>
        <w:spacing w:before="120" w:after="120" w:line="200" w:lineRule="exact"/>
        <w:ind w:left="720"/>
        <w:jc w:val="left"/>
        <w:rPr>
          <w:rFonts w:ascii="Helvetica" w:eastAsia="宋体" w:hAnsi="Helvetica" w:cs="宋体"/>
          <w:color w:val="5F5F5F"/>
          <w:kern w:val="0"/>
          <w:sz w:val="20"/>
          <w:szCs w:val="20"/>
        </w:rPr>
      </w:pPr>
      <w:r w:rsidRPr="00596C91">
        <w:rPr>
          <w:rFonts w:ascii="Helvetica" w:eastAsia="宋体" w:hAnsi="Helvetica" w:cs="宋体"/>
          <w:color w:val="5F5F5F"/>
          <w:kern w:val="0"/>
          <w:sz w:val="20"/>
          <w:szCs w:val="20"/>
        </w:rPr>
        <w:t>在上市后经验中，有服用西格列汀的患者出现急性胰腺炎的报告，包括致命和非致命的出血性或坏死性胰腺炎（参见不良反应，上市后经验）。</w:t>
      </w:r>
    </w:p>
    <w:p w:rsidR="00596C91" w:rsidRPr="00596C91" w:rsidRDefault="00596C91" w:rsidP="00596C91">
      <w:pPr>
        <w:widowControl/>
        <w:shd w:val="clear" w:color="auto" w:fill="FFFFFF"/>
        <w:spacing w:before="120" w:after="120" w:line="200" w:lineRule="exact"/>
        <w:ind w:left="720"/>
        <w:jc w:val="left"/>
        <w:rPr>
          <w:rFonts w:ascii="Helvetica" w:eastAsia="宋体" w:hAnsi="Helvetica" w:cs="宋体"/>
          <w:color w:val="5F5F5F"/>
          <w:kern w:val="0"/>
          <w:sz w:val="20"/>
          <w:szCs w:val="20"/>
        </w:rPr>
      </w:pPr>
      <w:r w:rsidRPr="00596C91">
        <w:rPr>
          <w:rFonts w:ascii="Helvetica" w:eastAsia="宋体" w:hAnsi="Helvetica" w:cs="宋体"/>
          <w:color w:val="5F5F5F"/>
          <w:kern w:val="0"/>
          <w:sz w:val="20"/>
          <w:szCs w:val="20"/>
        </w:rPr>
        <w:lastRenderedPageBreak/>
        <w:t>由于这些报告是自发提交的，且报告发生的人群数量不确定，通常不可能可靠地估计其发生频率或确定其与药物暴露的因果关系。患者应被告知急性胰腺炎的特征性症状：持续性的，剧烈的腹痛。有报道提示停用西格列汀后胰腺炎症状消失。如果怀疑出现胰腺炎，则应停止使用西格列汀和其他可疑的药物。</w:t>
      </w:r>
    </w:p>
    <w:p w:rsidR="00596C91" w:rsidRPr="00596C91" w:rsidRDefault="00596C91" w:rsidP="00596C91">
      <w:pPr>
        <w:widowControl/>
        <w:shd w:val="clear" w:color="auto" w:fill="FFFFFF"/>
        <w:spacing w:line="200" w:lineRule="exact"/>
        <w:ind w:left="720"/>
        <w:jc w:val="left"/>
        <w:rPr>
          <w:rFonts w:ascii="Helvetica" w:eastAsia="宋体" w:hAnsi="Helvetica" w:cs="宋体"/>
          <w:color w:val="5F5F5F"/>
          <w:kern w:val="0"/>
          <w:sz w:val="20"/>
          <w:szCs w:val="20"/>
        </w:rPr>
      </w:pPr>
      <w:r w:rsidRPr="00596C91">
        <w:rPr>
          <w:rFonts w:ascii="Helvetica" w:eastAsia="宋体" w:hAnsi="Helvetica" w:cs="宋体"/>
          <w:b/>
          <w:bCs/>
          <w:color w:val="5F5F5F"/>
          <w:kern w:val="0"/>
          <w:sz w:val="20"/>
        </w:rPr>
        <w:t>肾功能不全患者用</w:t>
      </w:r>
      <w:r w:rsidRPr="00596C91">
        <w:rPr>
          <w:rFonts w:ascii="Helvetica" w:eastAsia="宋体" w:hAnsi="Helvetica" w:cs="宋体"/>
          <w:color w:val="5F5F5F"/>
          <w:kern w:val="0"/>
          <w:sz w:val="20"/>
          <w:szCs w:val="20"/>
        </w:rPr>
        <w:t>：</w:t>
      </w:r>
    </w:p>
    <w:p w:rsidR="00596C91" w:rsidRPr="00596C91" w:rsidRDefault="00596C91" w:rsidP="00596C91">
      <w:pPr>
        <w:widowControl/>
        <w:shd w:val="clear" w:color="auto" w:fill="FFFFFF"/>
        <w:spacing w:before="120" w:after="120" w:line="200" w:lineRule="exact"/>
        <w:ind w:left="720"/>
        <w:jc w:val="left"/>
        <w:rPr>
          <w:rFonts w:ascii="Helvetica" w:eastAsia="宋体" w:hAnsi="Helvetica" w:cs="宋体"/>
          <w:color w:val="5F5F5F"/>
          <w:kern w:val="0"/>
          <w:sz w:val="20"/>
          <w:szCs w:val="20"/>
        </w:rPr>
      </w:pPr>
      <w:r w:rsidRPr="00596C91">
        <w:rPr>
          <w:rFonts w:ascii="Helvetica" w:eastAsia="宋体" w:hAnsi="Helvetica" w:cs="宋体"/>
          <w:color w:val="5F5F5F"/>
          <w:kern w:val="0"/>
          <w:sz w:val="20"/>
          <w:szCs w:val="20"/>
        </w:rPr>
        <w:t>本品可通过肾脏排泄。为了使肾功能不全患者的本品血浆浓度与肾功能正常患者相似，在中度和重度肾功能不全患者以及需要血液透析或腹膜透析的终末期肾病患者中，建议减少本品的剂量。</w:t>
      </w:r>
      <w:r w:rsidRPr="00596C91">
        <w:rPr>
          <w:rFonts w:ascii="Helvetica" w:eastAsia="宋体" w:hAnsi="Helvetica" w:cs="宋体"/>
          <w:color w:val="5F5F5F"/>
          <w:kern w:val="0"/>
          <w:sz w:val="20"/>
          <w:szCs w:val="20"/>
        </w:rPr>
        <w:t>(</w:t>
      </w:r>
      <w:r w:rsidRPr="00596C91">
        <w:rPr>
          <w:rFonts w:ascii="Helvetica" w:eastAsia="宋体" w:hAnsi="Helvetica" w:cs="宋体"/>
          <w:color w:val="5F5F5F"/>
          <w:kern w:val="0"/>
          <w:sz w:val="20"/>
          <w:szCs w:val="20"/>
        </w:rPr>
        <w:t>参见用法用量，肾功能不全患者。</w:t>
      </w:r>
      <w:r w:rsidRPr="00596C91">
        <w:rPr>
          <w:rFonts w:ascii="Helvetica" w:eastAsia="宋体" w:hAnsi="Helvetica" w:cs="宋体"/>
          <w:color w:val="5F5F5F"/>
          <w:kern w:val="0"/>
          <w:sz w:val="20"/>
          <w:szCs w:val="20"/>
        </w:rPr>
        <w:t>)</w:t>
      </w:r>
    </w:p>
    <w:p w:rsidR="00596C91" w:rsidRPr="00596C91" w:rsidRDefault="00596C91" w:rsidP="00596C91">
      <w:pPr>
        <w:widowControl/>
        <w:shd w:val="clear" w:color="auto" w:fill="FFFFFF"/>
        <w:spacing w:line="200" w:lineRule="exact"/>
        <w:ind w:left="720"/>
        <w:jc w:val="left"/>
        <w:rPr>
          <w:rFonts w:ascii="Helvetica" w:eastAsia="宋体" w:hAnsi="Helvetica" w:cs="宋体"/>
          <w:color w:val="5F5F5F"/>
          <w:kern w:val="0"/>
          <w:sz w:val="20"/>
          <w:szCs w:val="20"/>
        </w:rPr>
      </w:pPr>
      <w:r w:rsidRPr="00596C91">
        <w:rPr>
          <w:rFonts w:ascii="Helvetica" w:eastAsia="宋体" w:hAnsi="Helvetica" w:cs="宋体"/>
          <w:b/>
          <w:bCs/>
          <w:color w:val="5F5F5F"/>
          <w:kern w:val="0"/>
          <w:sz w:val="20"/>
        </w:rPr>
        <w:t>超敏反应</w:t>
      </w:r>
      <w:r w:rsidRPr="00596C91">
        <w:rPr>
          <w:rFonts w:ascii="Helvetica" w:eastAsia="宋体" w:hAnsi="Helvetica" w:cs="宋体"/>
          <w:color w:val="5F5F5F"/>
          <w:kern w:val="0"/>
          <w:sz w:val="20"/>
          <w:szCs w:val="20"/>
        </w:rPr>
        <w:t>：</w:t>
      </w:r>
    </w:p>
    <w:p w:rsidR="00596C91" w:rsidRPr="00596C91" w:rsidRDefault="00596C91" w:rsidP="00596C91">
      <w:pPr>
        <w:widowControl/>
        <w:shd w:val="clear" w:color="auto" w:fill="FFFFFF"/>
        <w:spacing w:before="120" w:after="120" w:line="200" w:lineRule="exact"/>
        <w:ind w:left="720"/>
        <w:jc w:val="left"/>
        <w:rPr>
          <w:rFonts w:ascii="Helvetica" w:eastAsia="宋体" w:hAnsi="Helvetica" w:cs="宋体"/>
          <w:color w:val="5F5F5F"/>
          <w:kern w:val="0"/>
          <w:sz w:val="20"/>
          <w:szCs w:val="20"/>
        </w:rPr>
      </w:pPr>
      <w:r w:rsidRPr="00596C91">
        <w:rPr>
          <w:rFonts w:ascii="Helvetica" w:eastAsia="宋体" w:hAnsi="Helvetica" w:cs="宋体"/>
          <w:color w:val="5F5F5F"/>
          <w:kern w:val="0"/>
          <w:sz w:val="20"/>
          <w:szCs w:val="20"/>
        </w:rPr>
        <w:t>本品上市后在患者的治疗过程中发现了以下严重超敏反应。这些反应包括过敏反应、血管性水肿和剥脱性皮肤损害，包括</w:t>
      </w:r>
      <w:r w:rsidRPr="00596C91">
        <w:rPr>
          <w:rFonts w:ascii="Helvetica" w:eastAsia="宋体" w:hAnsi="Helvetica" w:cs="宋体"/>
          <w:color w:val="5F5F5F"/>
          <w:kern w:val="0"/>
          <w:sz w:val="20"/>
          <w:szCs w:val="20"/>
        </w:rPr>
        <w:t>Stevens-Johnson</w:t>
      </w:r>
      <w:r w:rsidRPr="00596C91">
        <w:rPr>
          <w:rFonts w:ascii="Helvetica" w:eastAsia="宋体" w:hAnsi="Helvetica" w:cs="宋体"/>
          <w:color w:val="5F5F5F"/>
          <w:kern w:val="0"/>
          <w:sz w:val="20"/>
          <w:szCs w:val="20"/>
        </w:rPr>
        <w:t>综合征。由于这些反应来自人数不定的人群自发性报告，因此通常不可能可靠地估计这些反应的发生率或确定这些不良反应与药物暴露之间的因果关系。</w:t>
      </w:r>
    </w:p>
    <w:p w:rsidR="00596C91" w:rsidRPr="00596C91" w:rsidRDefault="00596C91" w:rsidP="00596C91">
      <w:pPr>
        <w:widowControl/>
        <w:shd w:val="clear" w:color="auto" w:fill="FFFFFF"/>
        <w:spacing w:line="200" w:lineRule="exact"/>
        <w:ind w:left="720"/>
        <w:jc w:val="left"/>
        <w:rPr>
          <w:rFonts w:ascii="Helvetica" w:eastAsia="宋体" w:hAnsi="Helvetica" w:cs="宋体"/>
          <w:color w:val="5F5F5F"/>
          <w:kern w:val="0"/>
          <w:sz w:val="20"/>
          <w:szCs w:val="20"/>
        </w:rPr>
      </w:pPr>
      <w:r w:rsidRPr="00596C91">
        <w:rPr>
          <w:rFonts w:ascii="Helvetica" w:eastAsia="宋体" w:hAnsi="Helvetica" w:cs="宋体"/>
          <w:color w:val="5F5F5F"/>
          <w:kern w:val="0"/>
          <w:sz w:val="20"/>
          <w:szCs w:val="20"/>
        </w:rPr>
        <w:t>这些反应发生在使用本品治疗的开始</w:t>
      </w:r>
      <w:r w:rsidRPr="00596C91">
        <w:rPr>
          <w:rFonts w:ascii="Helvetica" w:eastAsia="宋体" w:hAnsi="Helvetica" w:cs="宋体"/>
          <w:color w:val="5F5F5F"/>
          <w:kern w:val="0"/>
          <w:sz w:val="20"/>
          <w:szCs w:val="20"/>
        </w:rPr>
        <w:t>3</w:t>
      </w:r>
      <w:r w:rsidRPr="00596C91">
        <w:rPr>
          <w:rFonts w:ascii="Helvetica" w:eastAsia="宋体" w:hAnsi="Helvetica" w:cs="宋体"/>
          <w:color w:val="5F5F5F"/>
          <w:kern w:val="0"/>
          <w:sz w:val="20"/>
          <w:szCs w:val="20"/>
        </w:rPr>
        <w:t>个月内，有些报告发生在首次服用之后。如怀疑发生超敏反应，停止使用本品，评估是否有其他潜在的原因，采用其他方案治疗糖尿病。（参见禁忌和不良反应</w:t>
      </w:r>
      <w:r w:rsidRPr="00596C91">
        <w:rPr>
          <w:rFonts w:ascii="Helvetica" w:eastAsia="宋体" w:hAnsi="Helvetica" w:cs="宋体"/>
          <w:color w:val="5F5F5F"/>
          <w:kern w:val="0"/>
          <w:sz w:val="20"/>
          <w:szCs w:val="20"/>
        </w:rPr>
        <w:t>“</w:t>
      </w:r>
      <w:r w:rsidRPr="00596C91">
        <w:rPr>
          <w:rFonts w:ascii="Helvetica" w:eastAsia="宋体" w:hAnsi="Helvetica" w:cs="宋体"/>
          <w:color w:val="5F5F5F"/>
          <w:kern w:val="0"/>
          <w:sz w:val="20"/>
          <w:szCs w:val="20"/>
        </w:rPr>
        <w:t>上市后经验</w:t>
      </w:r>
      <w:r w:rsidRPr="00596C91">
        <w:rPr>
          <w:rFonts w:ascii="Helvetica" w:eastAsia="宋体" w:hAnsi="Helvetica" w:cs="宋体"/>
          <w:color w:val="5F5F5F"/>
          <w:kern w:val="0"/>
          <w:sz w:val="20"/>
          <w:szCs w:val="20"/>
        </w:rPr>
        <w:t>”</w:t>
      </w:r>
      <w:r w:rsidRPr="00596C91">
        <w:rPr>
          <w:rFonts w:ascii="Helvetica" w:eastAsia="宋体" w:hAnsi="Helvetica" w:cs="宋体"/>
          <w:color w:val="5F5F5F"/>
          <w:kern w:val="0"/>
          <w:sz w:val="20"/>
          <w:szCs w:val="20"/>
        </w:rPr>
        <w:t>部分。）</w:t>
      </w:r>
    </w:p>
    <w:p w:rsidR="005E1D17" w:rsidRPr="00596C91" w:rsidRDefault="005E1D17" w:rsidP="00596C91">
      <w:pPr>
        <w:spacing w:line="200" w:lineRule="exact"/>
      </w:pPr>
    </w:p>
    <w:sectPr w:rsidR="005E1D17" w:rsidRPr="00596C91" w:rsidSect="005E1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553" w:rsidRDefault="00227553" w:rsidP="00BB23BE">
      <w:r>
        <w:separator/>
      </w:r>
    </w:p>
  </w:endnote>
  <w:endnote w:type="continuationSeparator" w:id="0">
    <w:p w:rsidR="00227553" w:rsidRDefault="00227553" w:rsidP="00BB23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华文新魏">
    <w:panose1 w:val="0201080004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553" w:rsidRDefault="00227553" w:rsidP="00BB23BE">
      <w:r>
        <w:separator/>
      </w:r>
    </w:p>
  </w:footnote>
  <w:footnote w:type="continuationSeparator" w:id="0">
    <w:p w:rsidR="00227553" w:rsidRDefault="00227553" w:rsidP="00BB2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3BE" w:rsidRDefault="00BB23B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C65EF"/>
    <w:multiLevelType w:val="multilevel"/>
    <w:tmpl w:val="BBF4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23BE"/>
    <w:rsid w:val="00227553"/>
    <w:rsid w:val="003571E7"/>
    <w:rsid w:val="00533229"/>
    <w:rsid w:val="00596C91"/>
    <w:rsid w:val="005D10BC"/>
    <w:rsid w:val="005E1D17"/>
    <w:rsid w:val="00614F30"/>
    <w:rsid w:val="00BB23BE"/>
    <w:rsid w:val="00C54BC8"/>
    <w:rsid w:val="00E41004"/>
    <w:rsid w:val="00E508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3BE"/>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23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B23BE"/>
    <w:rPr>
      <w:sz w:val="18"/>
      <w:szCs w:val="18"/>
    </w:rPr>
  </w:style>
  <w:style w:type="paragraph" w:styleId="a4">
    <w:name w:val="footer"/>
    <w:basedOn w:val="a"/>
    <w:link w:val="Char0"/>
    <w:uiPriority w:val="99"/>
    <w:semiHidden/>
    <w:unhideWhenUsed/>
    <w:rsid w:val="00BB23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B23BE"/>
    <w:rPr>
      <w:sz w:val="18"/>
      <w:szCs w:val="18"/>
    </w:rPr>
  </w:style>
  <w:style w:type="character" w:customStyle="1" w:styleId="fl">
    <w:name w:val="fl"/>
    <w:basedOn w:val="a0"/>
    <w:rsid w:val="00596C91"/>
  </w:style>
  <w:style w:type="paragraph" w:styleId="a5">
    <w:name w:val="Normal (Web)"/>
    <w:basedOn w:val="a"/>
    <w:uiPriority w:val="99"/>
    <w:semiHidden/>
    <w:unhideWhenUsed/>
    <w:rsid w:val="00596C91"/>
    <w:pPr>
      <w:widowControl/>
      <w:spacing w:before="100" w:beforeAutospacing="1" w:after="100" w:afterAutospacing="1"/>
      <w:jc w:val="left"/>
    </w:pPr>
    <w:rPr>
      <w:rFonts w:ascii="宋体" w:eastAsia="宋体" w:hAnsi="宋体" w:cs="宋体"/>
      <w:kern w:val="0"/>
      <w:sz w:val="24"/>
    </w:rPr>
  </w:style>
  <w:style w:type="character" w:styleId="a6">
    <w:name w:val="Strong"/>
    <w:basedOn w:val="a0"/>
    <w:uiPriority w:val="22"/>
    <w:qFormat/>
    <w:rsid w:val="00596C91"/>
    <w:rPr>
      <w:b/>
      <w:bCs/>
    </w:rPr>
  </w:style>
  <w:style w:type="paragraph" w:styleId="a7">
    <w:name w:val="Balloon Text"/>
    <w:basedOn w:val="a"/>
    <w:link w:val="Char1"/>
    <w:uiPriority w:val="99"/>
    <w:semiHidden/>
    <w:unhideWhenUsed/>
    <w:rsid w:val="00596C91"/>
    <w:rPr>
      <w:sz w:val="18"/>
      <w:szCs w:val="18"/>
    </w:rPr>
  </w:style>
  <w:style w:type="character" w:customStyle="1" w:styleId="Char1">
    <w:name w:val="批注框文本 Char"/>
    <w:basedOn w:val="a0"/>
    <w:link w:val="a7"/>
    <w:uiPriority w:val="99"/>
    <w:semiHidden/>
    <w:rsid w:val="00596C91"/>
    <w:rPr>
      <w:rFonts w:ascii="Calibri" w:eastAsia="仿宋_GB2312"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754475932">
      <w:bodyDiv w:val="1"/>
      <w:marLeft w:val="0"/>
      <w:marRight w:val="0"/>
      <w:marTop w:val="0"/>
      <w:marBottom w:val="0"/>
      <w:divBdr>
        <w:top w:val="none" w:sz="0" w:space="0" w:color="auto"/>
        <w:left w:val="none" w:sz="0" w:space="0" w:color="auto"/>
        <w:bottom w:val="none" w:sz="0" w:space="0" w:color="auto"/>
        <w:right w:val="none" w:sz="0" w:space="0" w:color="auto"/>
      </w:divBdr>
    </w:div>
    <w:div w:id="1065183723">
      <w:bodyDiv w:val="1"/>
      <w:marLeft w:val="0"/>
      <w:marRight w:val="0"/>
      <w:marTop w:val="0"/>
      <w:marBottom w:val="0"/>
      <w:divBdr>
        <w:top w:val="none" w:sz="0" w:space="0" w:color="auto"/>
        <w:left w:val="none" w:sz="0" w:space="0" w:color="auto"/>
        <w:bottom w:val="none" w:sz="0" w:space="0" w:color="auto"/>
        <w:right w:val="none" w:sz="0" w:space="0" w:color="auto"/>
      </w:divBdr>
    </w:div>
    <w:div w:id="1394356943">
      <w:bodyDiv w:val="1"/>
      <w:marLeft w:val="0"/>
      <w:marRight w:val="0"/>
      <w:marTop w:val="0"/>
      <w:marBottom w:val="0"/>
      <w:divBdr>
        <w:top w:val="none" w:sz="0" w:space="0" w:color="auto"/>
        <w:left w:val="none" w:sz="0" w:space="0" w:color="auto"/>
        <w:bottom w:val="none" w:sz="0" w:space="0" w:color="auto"/>
        <w:right w:val="none" w:sz="0" w:space="0" w:color="auto"/>
      </w:divBdr>
    </w:div>
    <w:div w:id="179594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1091</Words>
  <Characters>6220</Characters>
  <Application>Microsoft Office Word</Application>
  <DocSecurity>0</DocSecurity>
  <Lines>51</Lines>
  <Paragraphs>14</Paragraphs>
  <ScaleCrop>false</ScaleCrop>
  <Company/>
  <LinksUpToDate>false</LinksUpToDate>
  <CharactersWithSpaces>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2019-04-25T01:30:00Z</dcterms:created>
  <dcterms:modified xsi:type="dcterms:W3CDTF">2020-04-24T05:03:00Z</dcterms:modified>
</cp:coreProperties>
</file>